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14A39D" w14:textId="1675F84B" w:rsidR="007237AE" w:rsidRDefault="00357BCD" w:rsidP="00FE5357">
      <w:pPr>
        <w:pStyle w:val="WRAP"/>
      </w:pPr>
      <w:r>
        <w:t>Final Complete Motion Practice Memorandum</w:t>
      </w:r>
    </w:p>
    <w:p w14:paraId="02D58958" w14:textId="34452F58" w:rsidR="007237AE" w:rsidRDefault="00A93C31" w:rsidP="00FE5357">
      <w:pPr>
        <w:pStyle w:val="WRAP"/>
      </w:pPr>
      <w:r>
        <w:t>4/10/12</w:t>
      </w:r>
    </w:p>
    <w:p w14:paraId="55029723" w14:textId="74ABF4FD" w:rsidR="007237AE" w:rsidRDefault="004415FC" w:rsidP="00FE5357">
      <w:pPr>
        <w:pStyle w:val="WRAP"/>
      </w:pPr>
      <w:r>
        <w:rPr>
          <w:szCs w:val="28"/>
        </w:rPr>
        <w:t>&lt;redacted&gt;&lt;/redacted&gt;</w:t>
      </w:r>
    </w:p>
    <w:p w14:paraId="5F6CECF6" w14:textId="21C10AE8" w:rsidR="007237AE" w:rsidRDefault="004415FC" w:rsidP="00FE5357">
      <w:pPr>
        <w:pStyle w:val="WRAP"/>
      </w:pPr>
      <w:r>
        <w:rPr>
          <w:szCs w:val="28"/>
        </w:rPr>
        <w:t>&lt;redacted&gt;&lt;/redacted&gt;</w:t>
      </w:r>
    </w:p>
    <w:p w14:paraId="70CB82A4" w14:textId="05637718" w:rsidR="00710316" w:rsidRDefault="007237AE" w:rsidP="00FE5357">
      <w:pPr>
        <w:pStyle w:val="WRAP"/>
      </w:pPr>
      <w:r>
        <w:t xml:space="preserve">I certify that the attached document contains </w:t>
      </w:r>
      <w:r w:rsidR="004446A7">
        <w:t>3579</w:t>
      </w:r>
      <w:r>
        <w:t xml:space="preserve"> words</w:t>
      </w:r>
      <w:r w:rsidR="00B74686">
        <w:t>.</w:t>
      </w:r>
    </w:p>
    <w:p w14:paraId="4A5FAF49" w14:textId="77777777" w:rsidR="007237AE" w:rsidRDefault="007237AE" w:rsidP="00FE5357">
      <w:pPr>
        <w:pStyle w:val="WRAP"/>
      </w:pPr>
    </w:p>
    <w:p w14:paraId="53D457F6" w14:textId="77777777" w:rsidR="007237AE" w:rsidRDefault="007237AE" w:rsidP="00FE5357">
      <w:pPr>
        <w:pStyle w:val="WRAP"/>
      </w:pPr>
    </w:p>
    <w:p w14:paraId="143F6D68" w14:textId="77777777" w:rsidR="007237AE" w:rsidRDefault="007237AE" w:rsidP="00FE5357">
      <w:pPr>
        <w:pStyle w:val="WRAP"/>
      </w:pPr>
    </w:p>
    <w:p w14:paraId="6054FDFB" w14:textId="77777777" w:rsidR="007237AE" w:rsidRDefault="007237AE" w:rsidP="00FE5357">
      <w:pPr>
        <w:pStyle w:val="WRAP"/>
      </w:pPr>
    </w:p>
    <w:p w14:paraId="37A05FCC" w14:textId="77777777" w:rsidR="007237AE" w:rsidRDefault="007237AE" w:rsidP="00FE5357">
      <w:pPr>
        <w:pStyle w:val="WRAP"/>
      </w:pPr>
    </w:p>
    <w:p w14:paraId="1E87F83E" w14:textId="77777777" w:rsidR="007237AE" w:rsidRDefault="007237AE" w:rsidP="00FE5357">
      <w:pPr>
        <w:pStyle w:val="WRAP"/>
      </w:pPr>
    </w:p>
    <w:p w14:paraId="614B21E9" w14:textId="77777777" w:rsidR="007237AE" w:rsidRDefault="007237AE" w:rsidP="00FE5357">
      <w:pPr>
        <w:pStyle w:val="WRAP"/>
      </w:pPr>
    </w:p>
    <w:p w14:paraId="1A60DB1D" w14:textId="77777777" w:rsidR="007237AE" w:rsidRDefault="007237AE" w:rsidP="00FE5357">
      <w:pPr>
        <w:pStyle w:val="WRAP"/>
      </w:pPr>
    </w:p>
    <w:p w14:paraId="10C2977E" w14:textId="77777777" w:rsidR="007237AE" w:rsidRDefault="007237AE" w:rsidP="00FE5357">
      <w:pPr>
        <w:pStyle w:val="WRAP"/>
      </w:pPr>
    </w:p>
    <w:p w14:paraId="143A79D8" w14:textId="77777777" w:rsidR="007237AE" w:rsidRDefault="007237AE" w:rsidP="00FE5357">
      <w:pPr>
        <w:pStyle w:val="WRAP"/>
      </w:pPr>
    </w:p>
    <w:p w14:paraId="2261085F" w14:textId="77777777" w:rsidR="007237AE" w:rsidRDefault="007237AE" w:rsidP="00FE5357">
      <w:pPr>
        <w:pStyle w:val="WRAP"/>
      </w:pPr>
    </w:p>
    <w:p w14:paraId="7F8AE120" w14:textId="77777777" w:rsidR="007237AE" w:rsidRDefault="007237AE" w:rsidP="00FE5357">
      <w:pPr>
        <w:pStyle w:val="WRAP"/>
      </w:pPr>
    </w:p>
    <w:p w14:paraId="0DEB86CF" w14:textId="77777777" w:rsidR="007237AE" w:rsidRDefault="007237AE" w:rsidP="00FE5357">
      <w:pPr>
        <w:pStyle w:val="WRAP"/>
      </w:pPr>
    </w:p>
    <w:p w14:paraId="1F9F622E" w14:textId="77777777" w:rsidR="007237AE" w:rsidRDefault="007237AE" w:rsidP="00FE5357">
      <w:pPr>
        <w:pStyle w:val="WRAP"/>
      </w:pPr>
    </w:p>
    <w:p w14:paraId="40865448" w14:textId="77777777" w:rsidR="007237AE" w:rsidRDefault="007237AE" w:rsidP="00FE5357">
      <w:pPr>
        <w:pStyle w:val="WRAP"/>
      </w:pPr>
    </w:p>
    <w:p w14:paraId="279BA9F1" w14:textId="77777777" w:rsidR="00A93C31" w:rsidRDefault="00A93C31" w:rsidP="00A93C31">
      <w:pPr>
        <w:rPr>
          <w:sz w:val="28"/>
          <w:szCs w:val="28"/>
        </w:rPr>
      </w:pPr>
      <w:r>
        <w:rPr>
          <w:sz w:val="28"/>
          <w:szCs w:val="28"/>
        </w:rPr>
        <w:lastRenderedPageBreak/>
        <w:t>STATE OF MINNESOTA</w:t>
      </w:r>
      <w:r>
        <w:rPr>
          <w:sz w:val="28"/>
          <w:szCs w:val="28"/>
        </w:rPr>
        <w:tab/>
      </w:r>
      <w:r>
        <w:rPr>
          <w:sz w:val="28"/>
          <w:szCs w:val="28"/>
        </w:rPr>
        <w:tab/>
      </w:r>
      <w:r>
        <w:rPr>
          <w:sz w:val="28"/>
          <w:szCs w:val="28"/>
        </w:rPr>
        <w:tab/>
      </w:r>
      <w:r>
        <w:rPr>
          <w:sz w:val="28"/>
          <w:szCs w:val="28"/>
        </w:rPr>
        <w:tab/>
        <w:t xml:space="preserve">        DISTRICT COURT</w:t>
      </w:r>
    </w:p>
    <w:p w14:paraId="19D33AE6" w14:textId="77777777" w:rsidR="00A93C31" w:rsidRDefault="00A93C31" w:rsidP="00A93C31">
      <w:pPr>
        <w:rPr>
          <w:sz w:val="28"/>
          <w:szCs w:val="28"/>
        </w:rPr>
      </w:pPr>
    </w:p>
    <w:p w14:paraId="578753CF" w14:textId="77777777" w:rsidR="00A93C31" w:rsidRDefault="00A93C31" w:rsidP="00A93C31">
      <w:pPr>
        <w:rPr>
          <w:sz w:val="28"/>
          <w:szCs w:val="28"/>
        </w:rPr>
      </w:pPr>
      <w:r>
        <w:rPr>
          <w:sz w:val="28"/>
          <w:szCs w:val="28"/>
        </w:rPr>
        <w:t>COUNTY OF RAMSEY                            SECOND JUDICIAL DISTRICT</w:t>
      </w:r>
    </w:p>
    <w:p w14:paraId="7DA70642" w14:textId="77777777" w:rsidR="00A93C31" w:rsidRDefault="00A93C31" w:rsidP="00A93C31">
      <w:pPr>
        <w:rPr>
          <w:sz w:val="28"/>
          <w:szCs w:val="28"/>
        </w:rPr>
      </w:pPr>
    </w:p>
    <w:p w14:paraId="0BA81EEC" w14:textId="77777777" w:rsidR="00A93C31" w:rsidRDefault="00A93C31" w:rsidP="00A93C31">
      <w:pPr>
        <w:rPr>
          <w:sz w:val="28"/>
          <w:szCs w:val="28"/>
        </w:rPr>
      </w:pPr>
      <w:r>
        <w:rPr>
          <w:sz w:val="28"/>
          <w:szCs w:val="28"/>
        </w:rPr>
        <w:t xml:space="preserve">                                                                               Court File No. 11-CB-0124</w:t>
      </w:r>
    </w:p>
    <w:p w14:paraId="4BB6EA79" w14:textId="77777777" w:rsidR="00A93C31" w:rsidRDefault="00A93C31" w:rsidP="00A93C31">
      <w:pPr>
        <w:rPr>
          <w:sz w:val="28"/>
          <w:szCs w:val="28"/>
        </w:rPr>
      </w:pPr>
      <w:r>
        <w:rPr>
          <w:sz w:val="28"/>
          <w:szCs w:val="28"/>
        </w:rPr>
        <w:t xml:space="preserve">                                                                               Case Type: Personal Injury</w:t>
      </w:r>
    </w:p>
    <w:p w14:paraId="218732DD" w14:textId="28D950DF" w:rsidR="00A93C31" w:rsidRDefault="00F41E30" w:rsidP="00A93C31">
      <w:pPr>
        <w:rPr>
          <w:sz w:val="28"/>
          <w:szCs w:val="28"/>
        </w:rPr>
      </w:pPr>
      <w:r>
        <w:rPr>
          <w:sz w:val="28"/>
          <w:szCs w:val="28"/>
        </w:rPr>
        <w:t>_____________________________________________________________</w:t>
      </w:r>
      <w:r w:rsidR="00A93C31">
        <w:rPr>
          <w:sz w:val="28"/>
          <w:szCs w:val="28"/>
        </w:rPr>
        <w:t xml:space="preserve">Leslie Miles, </w:t>
      </w:r>
    </w:p>
    <w:p w14:paraId="5AB6FD2F" w14:textId="77777777" w:rsidR="00A93C31" w:rsidRDefault="00A93C31" w:rsidP="00A93C31">
      <w:pPr>
        <w:rPr>
          <w:sz w:val="28"/>
          <w:szCs w:val="28"/>
        </w:rPr>
      </w:pPr>
      <w:r>
        <w:rPr>
          <w:sz w:val="28"/>
          <w:szCs w:val="28"/>
        </w:rPr>
        <w:t>as Trustee for Jonathan Miles</w:t>
      </w:r>
    </w:p>
    <w:p w14:paraId="7C160BE6" w14:textId="77777777" w:rsidR="00A93C31" w:rsidRDefault="00A93C31" w:rsidP="00E058CB">
      <w:pPr>
        <w:rPr>
          <w:sz w:val="28"/>
          <w:szCs w:val="28"/>
        </w:rPr>
      </w:pPr>
      <w:r w:rsidRPr="0038740B">
        <w:rPr>
          <w:sz w:val="28"/>
          <w:szCs w:val="28"/>
        </w:rPr>
        <w:t>Plaintiff</w:t>
      </w:r>
      <w:r>
        <w:rPr>
          <w:sz w:val="28"/>
          <w:szCs w:val="28"/>
        </w:rPr>
        <w:t>,</w:t>
      </w:r>
      <w:r>
        <w:rPr>
          <w:sz w:val="28"/>
          <w:szCs w:val="28"/>
        </w:rPr>
        <w:tab/>
      </w:r>
      <w:r>
        <w:rPr>
          <w:sz w:val="28"/>
          <w:szCs w:val="28"/>
        </w:rPr>
        <w:tab/>
      </w:r>
      <w:r>
        <w:rPr>
          <w:sz w:val="28"/>
          <w:szCs w:val="28"/>
        </w:rPr>
        <w:tab/>
      </w:r>
      <w:r>
        <w:rPr>
          <w:sz w:val="28"/>
          <w:szCs w:val="28"/>
        </w:rPr>
        <w:tab/>
      </w:r>
      <w:r>
        <w:rPr>
          <w:sz w:val="28"/>
          <w:szCs w:val="28"/>
        </w:rPr>
        <w:tab/>
        <w:t xml:space="preserve">         </w:t>
      </w:r>
    </w:p>
    <w:p w14:paraId="74D37242" w14:textId="1423398B" w:rsidR="00A93C31" w:rsidRDefault="00A93C31" w:rsidP="00A93C31">
      <w:pPr>
        <w:rPr>
          <w:sz w:val="28"/>
          <w:szCs w:val="28"/>
        </w:rPr>
      </w:pPr>
      <w:r>
        <w:rPr>
          <w:sz w:val="28"/>
          <w:szCs w:val="28"/>
        </w:rPr>
        <w:t xml:space="preserve">                                                        </w:t>
      </w:r>
      <w:r w:rsidRPr="00CE7D4A">
        <w:rPr>
          <w:b/>
          <w:sz w:val="28"/>
          <w:szCs w:val="28"/>
        </w:rPr>
        <w:t>DEFENDANT</w:t>
      </w:r>
      <w:r>
        <w:rPr>
          <w:b/>
          <w:sz w:val="28"/>
          <w:szCs w:val="28"/>
        </w:rPr>
        <w:t>’</w:t>
      </w:r>
      <w:r w:rsidR="00E058CB">
        <w:rPr>
          <w:b/>
          <w:sz w:val="28"/>
          <w:szCs w:val="28"/>
        </w:rPr>
        <w:t>S</w:t>
      </w:r>
      <w:r w:rsidRPr="00CE7D4A">
        <w:rPr>
          <w:b/>
          <w:sz w:val="28"/>
          <w:szCs w:val="28"/>
        </w:rPr>
        <w:t xml:space="preserve"> MEMORANDUM</w:t>
      </w:r>
      <w:r>
        <w:rPr>
          <w:b/>
          <w:sz w:val="28"/>
          <w:szCs w:val="28"/>
        </w:rPr>
        <w:t xml:space="preserve"> IN</w:t>
      </w:r>
    </w:p>
    <w:p w14:paraId="6ED349FB" w14:textId="504A3648" w:rsidR="00A93C31" w:rsidRPr="00CE7D4A" w:rsidRDefault="00E058CB" w:rsidP="00E058CB">
      <w:pPr>
        <w:ind w:firstLine="720"/>
        <w:rPr>
          <w:b/>
          <w:sz w:val="28"/>
          <w:szCs w:val="28"/>
        </w:rPr>
      </w:pPr>
      <w:r>
        <w:rPr>
          <w:sz w:val="28"/>
          <w:szCs w:val="28"/>
        </w:rPr>
        <w:t xml:space="preserve">      vs. </w:t>
      </w:r>
      <w:r>
        <w:rPr>
          <w:sz w:val="28"/>
          <w:szCs w:val="28"/>
        </w:rPr>
        <w:tab/>
      </w:r>
      <w:r>
        <w:rPr>
          <w:sz w:val="28"/>
          <w:szCs w:val="28"/>
        </w:rPr>
        <w:tab/>
        <w:t xml:space="preserve">    </w:t>
      </w:r>
      <w:r w:rsidR="009865EF">
        <w:rPr>
          <w:sz w:val="28"/>
          <w:szCs w:val="28"/>
        </w:rPr>
        <w:t xml:space="preserve">      </w:t>
      </w:r>
      <w:r w:rsidR="00A93C31" w:rsidRPr="00CE7D4A">
        <w:rPr>
          <w:b/>
          <w:sz w:val="28"/>
          <w:szCs w:val="28"/>
        </w:rPr>
        <w:t>S</w:t>
      </w:r>
      <w:r w:rsidR="00A93C31">
        <w:rPr>
          <w:b/>
          <w:sz w:val="28"/>
          <w:szCs w:val="28"/>
        </w:rPr>
        <w:t xml:space="preserve">UPPORT OF </w:t>
      </w:r>
      <w:r w:rsidR="009865EF" w:rsidRPr="00CE7D4A">
        <w:rPr>
          <w:b/>
          <w:sz w:val="28"/>
          <w:szCs w:val="28"/>
        </w:rPr>
        <w:t>SUMMARY JUDGMENT</w:t>
      </w:r>
      <w:r w:rsidR="009865EF">
        <w:rPr>
          <w:sz w:val="28"/>
          <w:szCs w:val="28"/>
        </w:rPr>
        <w:tab/>
      </w:r>
    </w:p>
    <w:p w14:paraId="3ACA13B3" w14:textId="5205CA70" w:rsidR="00A93C31" w:rsidRDefault="00A93C31" w:rsidP="00A93C31">
      <w:pPr>
        <w:rPr>
          <w:sz w:val="28"/>
          <w:szCs w:val="28"/>
        </w:rPr>
      </w:pPr>
      <w:r>
        <w:rPr>
          <w:b/>
          <w:sz w:val="28"/>
          <w:szCs w:val="28"/>
        </w:rPr>
        <w:t xml:space="preserve">                                              </w:t>
      </w:r>
      <w:r w:rsidR="009865EF">
        <w:rPr>
          <w:b/>
          <w:sz w:val="28"/>
          <w:szCs w:val="28"/>
        </w:rPr>
        <w:t xml:space="preserve">                              </w:t>
      </w:r>
    </w:p>
    <w:p w14:paraId="75629B0E" w14:textId="77777777" w:rsidR="00A93C31" w:rsidRDefault="00A93C31" w:rsidP="00A93C31">
      <w:pPr>
        <w:rPr>
          <w:sz w:val="28"/>
          <w:szCs w:val="28"/>
        </w:rPr>
      </w:pPr>
    </w:p>
    <w:p w14:paraId="60DE2605" w14:textId="77777777" w:rsidR="00E058CB" w:rsidRDefault="00A93C31" w:rsidP="00E058CB">
      <w:pPr>
        <w:rPr>
          <w:sz w:val="28"/>
          <w:szCs w:val="28"/>
        </w:rPr>
      </w:pPr>
      <w:r>
        <w:rPr>
          <w:sz w:val="28"/>
          <w:szCs w:val="28"/>
        </w:rPr>
        <w:t>Paul Wager,</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p>
    <w:p w14:paraId="293D6225" w14:textId="45657DAF" w:rsidR="00A93C31" w:rsidRPr="0038740B" w:rsidRDefault="00A93C31" w:rsidP="00E058CB">
      <w:pPr>
        <w:rPr>
          <w:sz w:val="28"/>
          <w:szCs w:val="28"/>
        </w:rPr>
      </w:pPr>
      <w:r w:rsidRPr="0038740B">
        <w:rPr>
          <w:sz w:val="28"/>
          <w:szCs w:val="28"/>
        </w:rPr>
        <w:t>Defendant</w:t>
      </w:r>
      <w:r>
        <w:rPr>
          <w:sz w:val="28"/>
          <w:szCs w:val="28"/>
        </w:rPr>
        <w:t>.</w:t>
      </w:r>
    </w:p>
    <w:p w14:paraId="7A0B98F3" w14:textId="26634524" w:rsidR="00A93C31" w:rsidRDefault="00A93C31" w:rsidP="00E058CB">
      <w:pPr>
        <w:rPr>
          <w:sz w:val="28"/>
          <w:szCs w:val="28"/>
        </w:rPr>
      </w:pPr>
      <w:r>
        <w:rPr>
          <w:sz w:val="28"/>
          <w:szCs w:val="28"/>
        </w:rPr>
        <w:t>_____________________________________________________________</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p>
    <w:p w14:paraId="49604008" w14:textId="77777777" w:rsidR="00E058CB" w:rsidRPr="00E058CB" w:rsidRDefault="00E058CB" w:rsidP="00E058CB">
      <w:pPr>
        <w:rPr>
          <w:sz w:val="28"/>
          <w:szCs w:val="28"/>
        </w:rPr>
      </w:pPr>
    </w:p>
    <w:p w14:paraId="7C50ECE0" w14:textId="479C476F" w:rsidR="00A409EF" w:rsidRPr="00D02B03" w:rsidRDefault="00A93C31" w:rsidP="00A409EF">
      <w:pPr>
        <w:pStyle w:val="WRAP"/>
        <w:jc w:val="center"/>
        <w:rPr>
          <w:b/>
        </w:rPr>
      </w:pPr>
      <w:r w:rsidRPr="00D02B03">
        <w:rPr>
          <w:b/>
        </w:rPr>
        <w:t>FACTS</w:t>
      </w:r>
    </w:p>
    <w:p w14:paraId="1A552F20" w14:textId="3F82CBED" w:rsidR="00A93C31" w:rsidRPr="00A14E7E" w:rsidRDefault="00A93C31" w:rsidP="00A93C31">
      <w:pPr>
        <w:pStyle w:val="WRAP"/>
        <w:ind w:firstLine="720"/>
      </w:pPr>
      <w:r>
        <w:t xml:space="preserve">Plaintiff Leslie Miles, as trustee for her deceased husband, Jonathan Miles, brought this action against Defendant Paul Wager (Wager) alleging negligent failure to warn the decedent of an alleged foreseeable danger. (Compl. </w:t>
      </w:r>
      <w:r w:rsidR="0032314D">
        <w:t>¶¶ 19 - 20.) Defendant filed a motion for summary j</w:t>
      </w:r>
      <w:r>
        <w:t xml:space="preserve">udgment in response to Plaintiff’s claim. </w:t>
      </w:r>
    </w:p>
    <w:p w14:paraId="23526092" w14:textId="7731D3D1" w:rsidR="00072BD2" w:rsidRDefault="003247BA" w:rsidP="00072BD2">
      <w:pPr>
        <w:pStyle w:val="WRAP"/>
        <w:ind w:firstLine="720"/>
      </w:pPr>
      <w:r>
        <w:t xml:space="preserve">Wager and Mary Atticus met in 2007 and dated for several years. (Wager Dep. 10.) Currently, they are not together and have not been in contact since their separation at the end of March in 2011. (Atticus Dep. 201.) In June 2009, Atticus and his mother moved in with Wager. (Atticus Dep. 51.) Wager never intended to or even contemplated the idea of adopting Atticus (Wager Dep. 41.) </w:t>
      </w:r>
      <w:r w:rsidR="0077220B">
        <w:t xml:space="preserve">After the Atticus’ moved in, </w:t>
      </w:r>
      <w:r w:rsidR="00D508D0">
        <w:t>tension arose between Wager and Atticus, distancing their r</w:t>
      </w:r>
      <w:r w:rsidR="002D71BD">
        <w:t>elationship. (Atticus Dep. 60.)</w:t>
      </w:r>
    </w:p>
    <w:p w14:paraId="139EBCCB" w14:textId="12F7861C" w:rsidR="003247BA" w:rsidRDefault="003247BA" w:rsidP="00072BD2">
      <w:pPr>
        <w:pStyle w:val="WRAP"/>
        <w:ind w:firstLine="720"/>
      </w:pPr>
      <w:r>
        <w:t>Atticus was diagnosed with ADHD and prescribed Ritalin. (Atticus Dep. 197.) He was also diagnosed with oppositional defiance disorder and prescribed an antidepressant called Flouretine. (</w:t>
      </w:r>
      <w:r>
        <w:rPr>
          <w:i/>
        </w:rPr>
        <w:t>Id.</w:t>
      </w:r>
      <w:r>
        <w:t>) Wager was aware of Atticus’ mental health situation and that he was prescribed various medications. (</w:t>
      </w:r>
      <w:r>
        <w:rPr>
          <w:i/>
        </w:rPr>
        <w:t>Id.</w:t>
      </w:r>
      <w:r>
        <w:t xml:space="preserve"> 25.) Wager did not observe Atticus’ dosage because Mary Atticus monitored his medication regularly. (</w:t>
      </w:r>
      <w:r>
        <w:rPr>
          <w:i/>
        </w:rPr>
        <w:t>Id.</w:t>
      </w:r>
      <w:r>
        <w:t>) According</w:t>
      </w:r>
      <w:r w:rsidR="00FF08E9">
        <w:t xml:space="preserve"> to</w:t>
      </w:r>
      <w:r>
        <w:t xml:space="preserve"> his mother, Atticus had never exhibited violence toward anyone. (Atticus Dep. 86.) Furthermore, one of Atticus’ teachers, Jenny Alcove, stated that Atticus was an average student who tried hard, was cooperative in class and had the support of his mother. (Alcove Dep. 23.)</w:t>
      </w:r>
    </w:p>
    <w:p w14:paraId="79852747" w14:textId="77777777" w:rsidR="00A93C31" w:rsidRDefault="00A93C31" w:rsidP="00A93C31">
      <w:pPr>
        <w:pStyle w:val="WRAP"/>
        <w:ind w:firstLine="720"/>
      </w:pPr>
      <w:r>
        <w:t xml:space="preserve">Decedent Jonathan Miles was a teacher at Lake Elmo High School where he also ran the theatre program. (Miles Dep. 17.) In October 2010, Atticus auditioned for a play that was directed by the decedent. (Atticus Dep. 86.) Subsequent to learning that he was not casted in the play, Atticus was overheard by the decedent saying, “Dammit, I didn’t make it, that bastard Miles will get it some day.” (Compl. ¶ 6.) Mary Atticus was called to school and a conference was held where she was made aware of Atticus’ statement. (Atticus Dep. 86.) At this conference, Atticus apologized to the decedent, and appeared very embarrassed by the statement he had made. (Miles Dep. 57.) Afterwards, Mary Atticus informed Wager of the conference and described what went on during it. (Atticus Dep. 165.) According to Ms. Alcove, Atticus was doing well in classes and was upbeat during the winter, after not being casted in the fall play. (Alcove Dep. 23.) </w:t>
      </w:r>
    </w:p>
    <w:p w14:paraId="0440BB38" w14:textId="3A6D8479" w:rsidR="00A93C31" w:rsidRDefault="00A93C31" w:rsidP="00A93C31">
      <w:pPr>
        <w:pStyle w:val="WRAP"/>
        <w:ind w:firstLine="720"/>
      </w:pPr>
      <w:r>
        <w:t>On January 12, 2011, Mary Atticus left for a one-year tour in Afghanistan for the National Guard. (Atticus Dep. 141.) Atticus, who was a senior at the time, remained staying at Wager’s house. (</w:t>
      </w:r>
      <w:r>
        <w:rPr>
          <w:i/>
        </w:rPr>
        <w:t>Id.</w:t>
      </w:r>
      <w:r>
        <w:t xml:space="preserve">) As Atticus was almost at the age of 18, Wager did not believe he would be caring for Atticus, viewing their situation as an opportunity </w:t>
      </w:r>
      <w:r w:rsidR="006C67B3">
        <w:t xml:space="preserve">for Atticus </w:t>
      </w:r>
      <w:r>
        <w:t xml:space="preserve">to show </w:t>
      </w:r>
      <w:r w:rsidR="006C67B3">
        <w:t xml:space="preserve">his </w:t>
      </w:r>
      <w:r>
        <w:t xml:space="preserve">independence and self-reliance. (Wager Dep. 30.) </w:t>
      </w:r>
    </w:p>
    <w:p w14:paraId="425B0087" w14:textId="77777777" w:rsidR="00A93C31" w:rsidRDefault="00A93C31" w:rsidP="00A93C31">
      <w:pPr>
        <w:pStyle w:val="WRAP"/>
        <w:ind w:firstLine="720"/>
      </w:pPr>
      <w:r>
        <w:t>Atticus had told Wager that his prescriptions “made him feel like he was living underwater.” (</w:t>
      </w:r>
      <w:r>
        <w:rPr>
          <w:i/>
        </w:rPr>
        <w:t>Id</w:t>
      </w:r>
      <w:r>
        <w:t>. 37.) Afterwards, Atticus discontinued his use of his prescriptions in February of 2011. (</w:t>
      </w:r>
      <w:r>
        <w:rPr>
          <w:i/>
        </w:rPr>
        <w:t>Id.</w:t>
      </w:r>
      <w:r>
        <w:t>) Although Wager was aware of this fact, he saw little change in Atticus’ behavior and was informed by Atticus that he “felt sharper and more alive.” (</w:t>
      </w:r>
      <w:r>
        <w:rPr>
          <w:i/>
        </w:rPr>
        <w:t>Id.</w:t>
      </w:r>
      <w:r>
        <w:t xml:space="preserve">) At her deposition, Jenny Alcove stated that Atticus’s behavior in school did not look out of the ordinary throughout January and February. (Alcove, Dep. 23.) </w:t>
      </w:r>
    </w:p>
    <w:p w14:paraId="383002D3" w14:textId="3A8E8001" w:rsidR="00A93C31" w:rsidRDefault="00A93C31" w:rsidP="00A93C31">
      <w:pPr>
        <w:pStyle w:val="WRAP"/>
        <w:ind w:firstLine="720"/>
      </w:pPr>
      <w:r>
        <w:t xml:space="preserve">On March 17 and 18, 2011, the decedent held tryouts for parts in the spring play. (Compl. ¶ 9.) Atticus auditioned for this play and Wager </w:t>
      </w:r>
      <w:r w:rsidR="006C67B3">
        <w:t xml:space="preserve">was aware </w:t>
      </w:r>
      <w:r>
        <w:t xml:space="preserve">of this fact. (Wager Dep. 41.) On March 21, 2011, the decedent posted the roles for the play and Atticus learned he was not chosen for a part in the production of the play. (Compl. ¶ 10.) </w:t>
      </w:r>
    </w:p>
    <w:p w14:paraId="24E932F1" w14:textId="1C8C3254" w:rsidR="00A93C31" w:rsidRDefault="00A93C31" w:rsidP="00A93C31">
      <w:pPr>
        <w:pStyle w:val="WRAP"/>
        <w:ind w:firstLine="720"/>
      </w:pPr>
      <w:r>
        <w:t>After coming home from work on March 21, 2011, Wager encountered Atticus in the kitchen with a beer in front of him. (Wager Dep. 51.) As Wager did not keep beer in his house, he asked Atticus where he got the beer from and why he was drinking it. (</w:t>
      </w:r>
      <w:r>
        <w:rPr>
          <w:i/>
        </w:rPr>
        <w:t>Id.</w:t>
      </w:r>
      <w:r>
        <w:t xml:space="preserve">) Atticus admitted his friend had purchased the beer for him and said out loud </w:t>
      </w:r>
      <w:r w:rsidR="006C67B3">
        <w:t xml:space="preserve">that </w:t>
      </w:r>
      <w:r>
        <w:t>he was going “to get even with that jerk if it kills me.” (</w:t>
      </w:r>
      <w:r>
        <w:rPr>
          <w:i/>
        </w:rPr>
        <w:t>Id</w:t>
      </w:r>
      <w:r>
        <w:t xml:space="preserve">.) Wager was unaware of whom the threat was </w:t>
      </w:r>
      <w:r w:rsidR="00AB7F1C">
        <w:t>made against</w:t>
      </w:r>
      <w:r>
        <w:t>, leading him to question Atticus as to what he meant by the statement. (</w:t>
      </w:r>
      <w:r>
        <w:rPr>
          <w:i/>
        </w:rPr>
        <w:t>Id.</w:t>
      </w:r>
      <w:r>
        <w:t>) However, Atticus did not answer Wager’s question as to whom the subject of the threat was. Atticus said, “I don’t want to talk about it” as he stood up and walked to his room. (</w:t>
      </w:r>
      <w:r>
        <w:rPr>
          <w:i/>
        </w:rPr>
        <w:t>Id.</w:t>
      </w:r>
      <w:r>
        <w:t xml:space="preserve">) </w:t>
      </w:r>
    </w:p>
    <w:p w14:paraId="6D15527B" w14:textId="4F3B82BE" w:rsidR="00E058CB" w:rsidRPr="00690D89" w:rsidRDefault="00A93C31" w:rsidP="00690D89">
      <w:pPr>
        <w:pStyle w:val="WRAP"/>
        <w:ind w:firstLine="720"/>
      </w:pPr>
      <w:r>
        <w:t>On March 22, 2011, when Wager woke up in the morning, he went to Atticus’ room, but did not have the opportunity to see him as he had already left for school. (</w:t>
      </w:r>
      <w:r>
        <w:rPr>
          <w:i/>
        </w:rPr>
        <w:t>Id.</w:t>
      </w:r>
      <w:r>
        <w:t>) While he was at work, he was called to come to the police station and was informed that Atticus stabbed the decedent. (</w:t>
      </w:r>
      <w:r>
        <w:rPr>
          <w:i/>
        </w:rPr>
        <w:t>Id.</w:t>
      </w:r>
      <w:r>
        <w:t xml:space="preserve">) Thereafter, the Plaintiff, representing the decedent, sued Wager alleging that the decedent’s death was a result of Wager’s negligent failure to warn the decedent. (Compl. ¶¶ 19 - 20.) Based on the pleadings and the depositions, Defendant now requests that this Court grant a motion for summary judgment. </w:t>
      </w:r>
    </w:p>
    <w:p w14:paraId="32DCB326" w14:textId="77777777" w:rsidR="00A93C31" w:rsidRPr="002032E3" w:rsidRDefault="00A93C31" w:rsidP="00A93C31">
      <w:pPr>
        <w:pStyle w:val="WRAP"/>
        <w:jc w:val="center"/>
        <w:rPr>
          <w:b/>
        </w:rPr>
      </w:pPr>
      <w:r w:rsidRPr="002032E3">
        <w:rPr>
          <w:b/>
        </w:rPr>
        <w:t>ISSUES</w:t>
      </w:r>
    </w:p>
    <w:p w14:paraId="57D18947" w14:textId="77777777" w:rsidR="00A93C31" w:rsidRDefault="00A93C31" w:rsidP="00A93C31">
      <w:pPr>
        <w:pStyle w:val="WRAP"/>
        <w:numPr>
          <w:ilvl w:val="0"/>
          <w:numId w:val="7"/>
        </w:numPr>
        <w:spacing w:before="240"/>
      </w:pPr>
      <w:r>
        <w:t xml:space="preserve">Has Plaintiff met the burden of proving the existence of a duty to warn, which must be shown in order to establish a claim of negligence? </w:t>
      </w:r>
    </w:p>
    <w:p w14:paraId="1C8C45C8" w14:textId="77777777" w:rsidR="00A93C31" w:rsidRDefault="00A93C31" w:rsidP="00A93C31">
      <w:pPr>
        <w:pStyle w:val="WRAP"/>
        <w:numPr>
          <w:ilvl w:val="1"/>
          <w:numId w:val="8"/>
        </w:numPr>
        <w:spacing w:before="240"/>
      </w:pPr>
      <w:r>
        <w:t xml:space="preserve">Was a special relationship created when Defendant allowed Atticus to remain in his home? </w:t>
      </w:r>
    </w:p>
    <w:p w14:paraId="4C5DCD17" w14:textId="49738F31" w:rsidR="00A93C31" w:rsidRDefault="00A93C31" w:rsidP="00A93C31">
      <w:pPr>
        <w:pStyle w:val="WRAP"/>
        <w:numPr>
          <w:ilvl w:val="1"/>
          <w:numId w:val="8"/>
        </w:numPr>
        <w:spacing w:before="240"/>
      </w:pPr>
      <w:r>
        <w:t>Were Atticus’ impending criminal acts sufficiently foreseeable by Defendant, when Atticus never had a history of violence or did not act out on the decedent after the first threat</w:t>
      </w:r>
      <w:r w:rsidR="00AB7F1C">
        <w:t xml:space="preserve"> was made</w:t>
      </w:r>
      <w:r>
        <w:t xml:space="preserve">? </w:t>
      </w:r>
    </w:p>
    <w:p w14:paraId="4591D77A" w14:textId="1C774B9E" w:rsidR="00A93C31" w:rsidRDefault="00A93C31" w:rsidP="00A93C31">
      <w:pPr>
        <w:pStyle w:val="WRAP"/>
        <w:numPr>
          <w:ilvl w:val="1"/>
          <w:numId w:val="8"/>
        </w:numPr>
        <w:spacing w:before="240"/>
      </w:pPr>
      <w:r>
        <w:t xml:space="preserve">Does Atticus’ threat on March 21, 2011, constitute a specified threat toward a specified victim, even though he did not </w:t>
      </w:r>
      <w:r w:rsidR="00AB7F1C">
        <w:t>indicate</w:t>
      </w:r>
      <w:r>
        <w:t xml:space="preserve"> the manner by which he was going to “get even” or name the decedent in the threat?  </w:t>
      </w:r>
    </w:p>
    <w:p w14:paraId="0C855777" w14:textId="77777777" w:rsidR="00E058CB" w:rsidRDefault="00E058CB" w:rsidP="0032314D">
      <w:pPr>
        <w:pStyle w:val="WRAP"/>
        <w:jc w:val="center"/>
        <w:rPr>
          <w:b/>
        </w:rPr>
      </w:pPr>
    </w:p>
    <w:p w14:paraId="45085E45" w14:textId="24E5AE18" w:rsidR="00E058CB" w:rsidRPr="0032314D" w:rsidRDefault="0032314D" w:rsidP="004446A7">
      <w:pPr>
        <w:pStyle w:val="WRAP"/>
        <w:jc w:val="center"/>
        <w:rPr>
          <w:b/>
        </w:rPr>
      </w:pPr>
      <w:r>
        <w:rPr>
          <w:b/>
        </w:rPr>
        <w:t>ARGUMENT</w:t>
      </w:r>
    </w:p>
    <w:p w14:paraId="7C5C1243" w14:textId="77777777" w:rsidR="00FE5357" w:rsidRDefault="009C2AD7" w:rsidP="009C2AD7">
      <w:pPr>
        <w:pStyle w:val="WRAP"/>
        <w:rPr>
          <w:b/>
          <w:u w:val="single"/>
        </w:rPr>
      </w:pPr>
      <w:r w:rsidRPr="009C2AD7">
        <w:rPr>
          <w:b/>
          <w:u w:val="single"/>
        </w:rPr>
        <w:t>I.</w:t>
      </w:r>
      <w:r>
        <w:rPr>
          <w:b/>
          <w:u w:val="single"/>
        </w:rPr>
        <w:t xml:space="preserve"> </w:t>
      </w:r>
      <w:r w:rsidR="00AA03F0">
        <w:rPr>
          <w:b/>
          <w:u w:val="single"/>
        </w:rPr>
        <w:t>Summary Judgment Standard</w:t>
      </w:r>
      <w:r>
        <w:rPr>
          <w:b/>
          <w:u w:val="single"/>
        </w:rPr>
        <w:t>.</w:t>
      </w:r>
    </w:p>
    <w:p w14:paraId="64A76830" w14:textId="77777777" w:rsidR="00C32287" w:rsidRDefault="00C32287" w:rsidP="009C2AD7">
      <w:pPr>
        <w:pStyle w:val="WRAP"/>
        <w:rPr>
          <w:b/>
          <w:u w:val="single"/>
        </w:rPr>
      </w:pPr>
    </w:p>
    <w:p w14:paraId="09BBC26E" w14:textId="77777777" w:rsidR="0082528A" w:rsidRDefault="00C51016" w:rsidP="0082528A">
      <w:pPr>
        <w:pStyle w:val="WRAP"/>
      </w:pPr>
      <w:r>
        <w:tab/>
      </w:r>
      <w:r w:rsidR="007A5A34">
        <w:t>The court may grant</w:t>
      </w:r>
      <w:r w:rsidR="00AE2779">
        <w:t xml:space="preserve"> a</w:t>
      </w:r>
      <w:r w:rsidR="007A5A34">
        <w:t xml:space="preserve"> motion for summary judgment if the movant has </w:t>
      </w:r>
      <w:r w:rsidR="00AE2779">
        <w:t>shown</w:t>
      </w:r>
      <w:r w:rsidR="007A5A34">
        <w:t xml:space="preserve"> that there is no genuine </w:t>
      </w:r>
      <w:r w:rsidR="000A6681">
        <w:t>issue</w:t>
      </w:r>
      <w:r w:rsidR="00455279">
        <w:t xml:space="preserve"> as to any material fact </w:t>
      </w:r>
      <w:r w:rsidR="000A6681">
        <w:t xml:space="preserve">and that </w:t>
      </w:r>
      <w:r w:rsidR="00700612">
        <w:t>t</w:t>
      </w:r>
      <w:r w:rsidR="000A6681">
        <w:t xml:space="preserve">he </w:t>
      </w:r>
      <w:r w:rsidR="00700612">
        <w:t xml:space="preserve">movant </w:t>
      </w:r>
      <w:r w:rsidR="000A6681">
        <w:t xml:space="preserve">is entitled to judgment as a matter of law. </w:t>
      </w:r>
      <w:r w:rsidR="00D66D3B">
        <w:t>Minn. R. Civ. P. 56.03;</w:t>
      </w:r>
      <w:r w:rsidR="00665B13">
        <w:t xml:space="preserve"> </w:t>
      </w:r>
      <w:r w:rsidR="000A6681">
        <w:rPr>
          <w:i/>
        </w:rPr>
        <w:t>Sauter v. Sauter,</w:t>
      </w:r>
      <w:r w:rsidR="006B5216">
        <w:t xml:space="preserve"> 70 </w:t>
      </w:r>
      <w:r w:rsidR="000A6681">
        <w:t>N.W.2d 351</w:t>
      </w:r>
      <w:r w:rsidR="00661530">
        <w:t>, 482</w:t>
      </w:r>
      <w:r w:rsidR="000A6681">
        <w:t xml:space="preserve"> (Minn. 1955). </w:t>
      </w:r>
      <w:r w:rsidR="00FD50D5">
        <w:t>A genuine issue of material fact exists if a rational trier of fact, considering the record as a whole</w:t>
      </w:r>
      <w:r w:rsidR="00700612">
        <w:t>,</w:t>
      </w:r>
      <w:r w:rsidR="00FD50D5">
        <w:t xml:space="preserve"> could find for the</w:t>
      </w:r>
      <w:r w:rsidR="001B3400">
        <w:t xml:space="preserve"> </w:t>
      </w:r>
      <w:r w:rsidR="00FD50D5">
        <w:t>nonmoving party.</w:t>
      </w:r>
      <w:r w:rsidR="001B3400">
        <w:t xml:space="preserve"> </w:t>
      </w:r>
      <w:r w:rsidR="001B3400">
        <w:rPr>
          <w:i/>
        </w:rPr>
        <w:t>Frieler v. Carlson Mktg. Group, Inc.</w:t>
      </w:r>
      <w:r w:rsidR="001B3400">
        <w:t xml:space="preserve"> 751 N.W.2d 558, 564 (Minn. 2008). </w:t>
      </w:r>
      <w:r w:rsidR="000A6681">
        <w:t>In opposing su</w:t>
      </w:r>
      <w:r w:rsidR="00656DE9">
        <w:t xml:space="preserve">mmary judgment, the </w:t>
      </w:r>
      <w:r w:rsidR="00700612">
        <w:t>nonmoving</w:t>
      </w:r>
      <w:r w:rsidR="00656DE9">
        <w:t xml:space="preserve"> party may not rest upon the mere averments or denial</w:t>
      </w:r>
      <w:r w:rsidR="00700612">
        <w:t>s</w:t>
      </w:r>
      <w:r w:rsidR="00656DE9">
        <w:t xml:space="preserve"> </w:t>
      </w:r>
      <w:r w:rsidR="00700612">
        <w:t xml:space="preserve">in </w:t>
      </w:r>
      <w:r w:rsidR="00C657D4">
        <w:t>pleading</w:t>
      </w:r>
      <w:r w:rsidR="00700612">
        <w:t>s,</w:t>
      </w:r>
      <w:r w:rsidR="00C657D4">
        <w:t xml:space="preserve"> but must present specific facts showing that there is a genuine issue</w:t>
      </w:r>
      <w:r w:rsidR="009720D3">
        <w:t xml:space="preserve"> of fact</w:t>
      </w:r>
      <w:r w:rsidR="00C657D4">
        <w:t xml:space="preserve"> and need for trial. </w:t>
      </w:r>
      <w:r w:rsidR="00C657D4">
        <w:rPr>
          <w:i/>
        </w:rPr>
        <w:t xml:space="preserve">DLH, Inc. v. Russ, </w:t>
      </w:r>
      <w:r w:rsidR="00C657D4">
        <w:t>566 N.W.2d 60</w:t>
      </w:r>
      <w:r w:rsidR="006B5216">
        <w:t>, 71</w:t>
      </w:r>
      <w:r w:rsidR="00C657D4">
        <w:t xml:space="preserve"> (Minn. 1998). </w:t>
      </w:r>
      <w:r w:rsidR="009720D3">
        <w:t xml:space="preserve">Furthermore, the Minnesota Supreme Court has stated “there is no genuine issue of material fact for trial when the nonmoving party presents evidence which merely creates a metaphysical doubt as to a factual issue and which is not sufficiently probative with respect to an essential element of the nonmoving party’s case to permit reasonable persons to draw different conclusion.” </w:t>
      </w:r>
      <w:r w:rsidR="009720D3">
        <w:rPr>
          <w:i/>
        </w:rPr>
        <w:t>Id.</w:t>
      </w:r>
      <w:r w:rsidR="009720D3">
        <w:t xml:space="preserve"> </w:t>
      </w:r>
    </w:p>
    <w:p w14:paraId="47BE7036" w14:textId="031EB654" w:rsidR="0082528A" w:rsidRPr="0082528A" w:rsidRDefault="0082528A" w:rsidP="0082528A">
      <w:pPr>
        <w:pStyle w:val="WRAP"/>
      </w:pPr>
      <w:r>
        <w:rPr>
          <w:b/>
          <w:u w:val="single"/>
        </w:rPr>
        <w:t xml:space="preserve">II. Defendant is entitled to summary judgment because Plaintiff failed to prove the existence of a duty of care necessary in order to establish a claim of negligence. </w:t>
      </w:r>
    </w:p>
    <w:p w14:paraId="10DEA075" w14:textId="77777777" w:rsidR="0082528A" w:rsidRPr="009720D3" w:rsidRDefault="0082528A" w:rsidP="009C2AD7">
      <w:pPr>
        <w:pStyle w:val="WRAP"/>
      </w:pPr>
    </w:p>
    <w:p w14:paraId="0A6694AF" w14:textId="6F693C89" w:rsidR="00227E56" w:rsidRDefault="00227E56" w:rsidP="009C2AD7">
      <w:pPr>
        <w:pStyle w:val="WRAP"/>
      </w:pPr>
      <w:r>
        <w:tab/>
        <w:t xml:space="preserve">A defendant is entitled to summary judgment as a matter of law when the record reflects a complete lack of proof on an essential element of a plaintiff’s claim. </w:t>
      </w:r>
      <w:r>
        <w:rPr>
          <w:i/>
        </w:rPr>
        <w:t>Nicollet Restoration, Inc. v. City of St. Paul,</w:t>
      </w:r>
      <w:r>
        <w:t xml:space="preserve"> 533 N.W.2d 845, 847-48 (Minn. 1995). </w:t>
      </w:r>
      <w:r w:rsidR="00D33143">
        <w:t>The four essential elements of a negligence claim are:</w:t>
      </w:r>
    </w:p>
    <w:p w14:paraId="013F2B35" w14:textId="48871AA1" w:rsidR="00D33143" w:rsidRDefault="00D33143" w:rsidP="009C2AD7">
      <w:pPr>
        <w:pStyle w:val="WRAP"/>
      </w:pPr>
      <w:r>
        <w:tab/>
      </w:r>
      <w:r w:rsidR="00981C63">
        <w:tab/>
        <w:t>1. Existence of a duty of care</w:t>
      </w:r>
      <w:r w:rsidR="0082528A">
        <w:t>;</w:t>
      </w:r>
    </w:p>
    <w:p w14:paraId="266FC71B" w14:textId="02155DCC" w:rsidR="00981C63" w:rsidRDefault="00981C63" w:rsidP="009C2AD7">
      <w:pPr>
        <w:pStyle w:val="WRAP"/>
      </w:pPr>
      <w:r>
        <w:tab/>
      </w:r>
      <w:r>
        <w:tab/>
        <w:t>2. Breach of that duty</w:t>
      </w:r>
      <w:r w:rsidR="0082528A">
        <w:t>;</w:t>
      </w:r>
    </w:p>
    <w:p w14:paraId="1D431582" w14:textId="6BBE1FE1" w:rsidR="00981C63" w:rsidRDefault="0082528A" w:rsidP="009C2AD7">
      <w:pPr>
        <w:pStyle w:val="WRAP"/>
      </w:pPr>
      <w:r>
        <w:tab/>
      </w:r>
      <w:r>
        <w:tab/>
        <w:t>3. I</w:t>
      </w:r>
      <w:r w:rsidR="00981C63">
        <w:t>njury</w:t>
      </w:r>
      <w:r>
        <w:t>;</w:t>
      </w:r>
      <w:r w:rsidR="00981C63">
        <w:t xml:space="preserve"> </w:t>
      </w:r>
      <w:r>
        <w:t>and</w:t>
      </w:r>
    </w:p>
    <w:p w14:paraId="279CA92B" w14:textId="57BA341E" w:rsidR="00AB7F1C" w:rsidRDefault="00981C63" w:rsidP="009C2AD7">
      <w:pPr>
        <w:pStyle w:val="WRAP"/>
      </w:pPr>
      <w:r>
        <w:tab/>
      </w:r>
      <w:r>
        <w:tab/>
        <w:t>4. Breach of that duty being proximate cause of the injury</w:t>
      </w:r>
      <w:r w:rsidR="0082528A">
        <w:t>.</w:t>
      </w:r>
      <w:r>
        <w:t xml:space="preserve"> </w:t>
      </w:r>
    </w:p>
    <w:p w14:paraId="52C36FD0" w14:textId="4FCE30FC" w:rsidR="00981C63" w:rsidRDefault="00981C63" w:rsidP="009C2AD7">
      <w:pPr>
        <w:pStyle w:val="WRAP"/>
      </w:pPr>
      <w:r>
        <w:rPr>
          <w:i/>
        </w:rPr>
        <w:t>Funcehss v. Cecil Newman Corp.,</w:t>
      </w:r>
      <w:r>
        <w:t xml:space="preserve"> 632 N.W.2d 666. The existence of a</w:t>
      </w:r>
      <w:r w:rsidR="00EE4C01">
        <w:t xml:space="preserve"> leg</w:t>
      </w:r>
      <w:r w:rsidR="0082528A">
        <w:t>al duty is an issue</w:t>
      </w:r>
      <w:r w:rsidR="00EE4C01">
        <w:t xml:space="preserve"> f</w:t>
      </w:r>
      <w:r>
        <w:t xml:space="preserve">or the court to determine as a matter of law. </w:t>
      </w:r>
      <w:r>
        <w:rPr>
          <w:i/>
        </w:rPr>
        <w:t>Larson v. Larson,</w:t>
      </w:r>
      <w:r>
        <w:t xml:space="preserve"> 373 N.W.2d 287, 289 (Minn. 1985).</w:t>
      </w:r>
      <w:r w:rsidR="00141AB1">
        <w:t xml:space="preserve"> </w:t>
      </w:r>
    </w:p>
    <w:p w14:paraId="23E66933" w14:textId="381D8A3E" w:rsidR="00C32287" w:rsidRPr="0082528A" w:rsidRDefault="00141AB1" w:rsidP="0082528A">
      <w:pPr>
        <w:pStyle w:val="WRAP"/>
      </w:pPr>
      <w:r>
        <w:tab/>
      </w:r>
      <w:r w:rsidR="0082528A">
        <w:t>In this case, s</w:t>
      </w:r>
      <w:r w:rsidR="00CE16DF">
        <w:t xml:space="preserve">ummary judgment is appropriate because Defendant did not owe a duty to warn the decedent of potential harm. </w:t>
      </w:r>
      <w:r w:rsidR="00ED57D7">
        <w:t xml:space="preserve">Plaintiff did not present any actual facts to establish the existence of such a duty. </w:t>
      </w:r>
      <w:r w:rsidR="002D7A09">
        <w:t xml:space="preserve">In the absence of a legal duty, the negligence claim fails. </w:t>
      </w:r>
      <w:r w:rsidR="002D7A09">
        <w:rPr>
          <w:i/>
        </w:rPr>
        <w:t xml:space="preserve">Domagala v. Rolland, </w:t>
      </w:r>
      <w:r w:rsidR="002D7A09">
        <w:t xml:space="preserve">805 N.W.2d 14, 22 (Minn. 2011) (citing </w:t>
      </w:r>
      <w:r w:rsidR="002D7A09">
        <w:rPr>
          <w:i/>
        </w:rPr>
        <w:t>Gilbertson v. Leininger</w:t>
      </w:r>
      <w:r w:rsidR="002D7A09">
        <w:t xml:space="preserve">, 599 N.W.2d 127, 130 (Minn. 1999)). </w:t>
      </w:r>
    </w:p>
    <w:p w14:paraId="71F360DA" w14:textId="24EDE092" w:rsidR="00326D0D" w:rsidRDefault="00AA03F0" w:rsidP="009C2AD7">
      <w:pPr>
        <w:pStyle w:val="WRAP"/>
      </w:pPr>
      <w:r w:rsidRPr="00904452">
        <w:tab/>
      </w:r>
      <w:r w:rsidR="008C53F4">
        <w:t>The general common law rule in Minnesota is that</w:t>
      </w:r>
      <w:r w:rsidR="00B60510">
        <w:t xml:space="preserve"> “a person does not have a duty to give aid or protection to another or to warn or protect others from harm caused by a third party’s conduct.” </w:t>
      </w:r>
      <w:r w:rsidR="00B60510">
        <w:rPr>
          <w:i/>
        </w:rPr>
        <w:t>H.B. ex rel. Clark v. Whittemore</w:t>
      </w:r>
      <w:r w:rsidR="00DC7263">
        <w:t xml:space="preserve">, 552 N.W.2d 705, 707 (Minn. 1996). </w:t>
      </w:r>
      <w:r w:rsidR="00CC6725">
        <w:t xml:space="preserve"> </w:t>
      </w:r>
      <w:r w:rsidR="00C21459">
        <w:t xml:space="preserve">However, in those instances where a defendant has a special relationship with a person who needs to be controlled or there is a foreseeable harm to a victim of the controlled person’s conduct, then a legal duty to protect someone from harm can exist. </w:t>
      </w:r>
      <w:r w:rsidR="00C21459">
        <w:rPr>
          <w:i/>
        </w:rPr>
        <w:t xml:space="preserve">Cairl v. State, </w:t>
      </w:r>
      <w:r w:rsidR="00C21459">
        <w:t xml:space="preserve">323 N.W.2d 20, 25 (Minn. </w:t>
      </w:r>
      <w:r w:rsidR="0000095A">
        <w:t xml:space="preserve">1982). </w:t>
      </w:r>
      <w:r w:rsidR="00122411">
        <w:t>In the instant</w:t>
      </w:r>
      <w:r w:rsidR="00E12E0B">
        <w:t xml:space="preserve"> case, no </w:t>
      </w:r>
      <w:r w:rsidR="00122411">
        <w:t xml:space="preserve">such legal duty existed because there was no special relationship. </w:t>
      </w:r>
    </w:p>
    <w:p w14:paraId="595E7C54" w14:textId="77777777" w:rsidR="00C32287" w:rsidRDefault="00C32287" w:rsidP="009C2AD7">
      <w:pPr>
        <w:pStyle w:val="WRAP"/>
      </w:pPr>
    </w:p>
    <w:p w14:paraId="633019A7" w14:textId="53B1E43E" w:rsidR="006C6C5C" w:rsidRDefault="006C6C5C" w:rsidP="006C6C5C">
      <w:pPr>
        <w:pStyle w:val="WRAP"/>
        <w:ind w:left="720"/>
        <w:rPr>
          <w:b/>
          <w:u w:val="single"/>
        </w:rPr>
      </w:pPr>
      <w:r>
        <w:rPr>
          <w:b/>
          <w:u w:val="single"/>
        </w:rPr>
        <w:t xml:space="preserve">A. Defendant’s arrangement for Justin </w:t>
      </w:r>
      <w:r w:rsidR="00122411">
        <w:rPr>
          <w:b/>
          <w:u w:val="single"/>
        </w:rPr>
        <w:t>Atticus to stay in his home did</w:t>
      </w:r>
      <w:r>
        <w:rPr>
          <w:b/>
          <w:u w:val="single"/>
        </w:rPr>
        <w:t xml:space="preserve"> not create a special relationship</w:t>
      </w:r>
      <w:r w:rsidR="00122411">
        <w:rPr>
          <w:b/>
          <w:u w:val="single"/>
        </w:rPr>
        <w:t>,</w:t>
      </w:r>
      <w:r>
        <w:rPr>
          <w:b/>
          <w:u w:val="single"/>
        </w:rPr>
        <w:t xml:space="preserve"> </w:t>
      </w:r>
      <w:r w:rsidR="00441DDE">
        <w:rPr>
          <w:b/>
          <w:u w:val="single"/>
        </w:rPr>
        <w:t>giving rise to</w:t>
      </w:r>
      <w:r>
        <w:rPr>
          <w:b/>
          <w:u w:val="single"/>
        </w:rPr>
        <w:t xml:space="preserve"> a duty to warn the decedent of potential harm.</w:t>
      </w:r>
    </w:p>
    <w:p w14:paraId="18D48234" w14:textId="77777777" w:rsidR="00C32287" w:rsidRDefault="00C32287" w:rsidP="006C6C5C">
      <w:pPr>
        <w:pStyle w:val="WRAP"/>
        <w:ind w:left="720"/>
        <w:rPr>
          <w:b/>
          <w:u w:val="single"/>
        </w:rPr>
      </w:pPr>
    </w:p>
    <w:p w14:paraId="6A77A693" w14:textId="719AEF8D" w:rsidR="006312F0" w:rsidRPr="00C95283" w:rsidRDefault="00EE2366" w:rsidP="006312F0">
      <w:pPr>
        <w:pStyle w:val="WRAP"/>
      </w:pPr>
      <w:r>
        <w:rPr>
          <w:b/>
        </w:rPr>
        <w:tab/>
      </w:r>
      <w:r>
        <w:t xml:space="preserve">The first </w:t>
      </w:r>
      <w:r w:rsidR="00441DDE">
        <w:t>element</w:t>
      </w:r>
      <w:r>
        <w:t xml:space="preserve"> to a findin</w:t>
      </w:r>
      <w:r w:rsidR="00F42343">
        <w:t>g of a duty to warn another of</w:t>
      </w:r>
      <w:r>
        <w:t xml:space="preserve"> </w:t>
      </w:r>
      <w:r w:rsidR="00F42343">
        <w:t xml:space="preserve">a danger to his safety is the existence of a special relationship between the parties. </w:t>
      </w:r>
      <w:r w:rsidR="00107E36">
        <w:rPr>
          <w:i/>
        </w:rPr>
        <w:t xml:space="preserve">Bjerke v. Johnson, </w:t>
      </w:r>
      <w:r w:rsidR="00107E36">
        <w:t xml:space="preserve">742 N.W.2d 660, 665 (Minn. 2007). </w:t>
      </w:r>
      <w:r w:rsidR="008D6709">
        <w:t>Situations</w:t>
      </w:r>
      <w:r w:rsidR="00291BF8">
        <w:t xml:space="preserve"> where a special relationship ha</w:t>
      </w:r>
      <w:r w:rsidR="002A1BC6">
        <w:t>s created a duty on the part of</w:t>
      </w:r>
      <w:r w:rsidR="00754CB1">
        <w:t xml:space="preserve"> </w:t>
      </w:r>
      <w:r w:rsidR="008D6709">
        <w:t>the d</w:t>
      </w:r>
      <w:r w:rsidR="00291BF8">
        <w:t xml:space="preserve">efendant to protect </w:t>
      </w:r>
      <w:r w:rsidR="00754CB1">
        <w:t xml:space="preserve">a </w:t>
      </w:r>
      <w:r w:rsidR="008D6709">
        <w:t>p</w:t>
      </w:r>
      <w:r w:rsidR="00291BF8">
        <w:t>lain</w:t>
      </w:r>
      <w:r w:rsidR="00754CB1">
        <w:t xml:space="preserve">tiff usually </w:t>
      </w:r>
      <w:r w:rsidR="00354AFD">
        <w:t>involves</w:t>
      </w:r>
      <w:r w:rsidR="00754CB1">
        <w:t xml:space="preserve"> some degree of dependence. </w:t>
      </w:r>
      <w:r w:rsidR="005254A4" w:rsidRPr="00DE6598">
        <w:rPr>
          <w:i/>
        </w:rPr>
        <w:t>E.g.</w:t>
      </w:r>
      <w:r w:rsidR="00A57F9A" w:rsidRPr="00DE6598">
        <w:rPr>
          <w:i/>
        </w:rPr>
        <w:t xml:space="preserve"> </w:t>
      </w:r>
      <w:r w:rsidR="0038385C" w:rsidRPr="00DE6598">
        <w:rPr>
          <w:i/>
        </w:rPr>
        <w:t>Donaldson</w:t>
      </w:r>
      <w:r w:rsidR="0038385C">
        <w:rPr>
          <w:i/>
        </w:rPr>
        <w:t xml:space="preserve"> v. Young Women’s Christian Ass’n of Duluth,</w:t>
      </w:r>
      <w:r w:rsidR="0038385C">
        <w:t xml:space="preserve"> 539 N.W.2d 789, 793</w:t>
      </w:r>
      <w:r w:rsidR="005254A4">
        <w:t xml:space="preserve"> (Minn. 1995) (holding that lodging house owed no duty to prevent residents from committing suicide and was </w:t>
      </w:r>
      <w:r w:rsidR="00F06690">
        <w:t>not liable for resident’s death</w:t>
      </w:r>
      <w:r w:rsidR="005254A4">
        <w:t>)</w:t>
      </w:r>
      <w:r w:rsidR="00F06690">
        <w:t>.</w:t>
      </w:r>
      <w:r w:rsidR="00A57F9A">
        <w:t xml:space="preserve"> The Restatement (Second) of Torts provides that a special relationship, giving rise to a duty to provide</w:t>
      </w:r>
      <w:r w:rsidR="00E25FDC">
        <w:t xml:space="preserve"> aid or protection occurs when “o</w:t>
      </w:r>
      <w:r w:rsidR="00107E36">
        <w:t>ne who is required by law to take or who voluntarily takes the custody of another under circumstances such as to deprive the other of his normal opportunities for protection is under a similar duty to th</w:t>
      </w:r>
      <w:r w:rsidR="00E25FDC">
        <w:t xml:space="preserve">e other.” </w:t>
      </w:r>
      <w:r w:rsidR="006312F0">
        <w:t xml:space="preserve">§314A(4) (1965). Such special relationship can arise from the status of the parties, such as “parents and children, masters and servants, possessors of land and licensee, [and] common carriers and their customers.” </w:t>
      </w:r>
      <w:r w:rsidR="006312F0">
        <w:rPr>
          <w:i/>
        </w:rPr>
        <w:t>Delgado v. Lohmar,</w:t>
      </w:r>
      <w:r w:rsidR="006312F0">
        <w:t xml:space="preserve"> 289 N.W.2d 479, 483-84 (Minn. 1979). Additionally, a special relationship may arise when a person</w:t>
      </w:r>
      <w:r w:rsidR="00C95283">
        <w:t xml:space="preserve"> accepts responsibility to protect another, although there was no initial duty. </w:t>
      </w:r>
      <w:r w:rsidR="00F06690">
        <w:rPr>
          <w:i/>
        </w:rPr>
        <w:t xml:space="preserve">See </w:t>
      </w:r>
      <w:r w:rsidR="00AF28D8">
        <w:rPr>
          <w:i/>
        </w:rPr>
        <w:t>Sunnarborg</w:t>
      </w:r>
      <w:r w:rsidR="00C95283">
        <w:rPr>
          <w:i/>
        </w:rPr>
        <w:t xml:space="preserve"> v. Howard, </w:t>
      </w:r>
      <w:r w:rsidR="00C95283">
        <w:t xml:space="preserve">582 N.W. 2d 397, 399 (Minn. 1998) (citing </w:t>
      </w:r>
      <w:r w:rsidR="00C95283">
        <w:rPr>
          <w:i/>
        </w:rPr>
        <w:t>Lundman v. McKown,</w:t>
      </w:r>
      <w:r w:rsidR="00F06690">
        <w:t xml:space="preserve"> 530 N.W.2d 807 (Minn. 1995)</w:t>
      </w:r>
      <w:r w:rsidR="008D6709">
        <w:t xml:space="preserve"> </w:t>
      </w:r>
      <w:r w:rsidR="00B200B5">
        <w:t>(holding that special relationship existed between stepfather and child based on the stepfather’s marriage to the child’s mother</w:t>
      </w:r>
      <w:r w:rsidR="00F06690">
        <w:t>)</w:t>
      </w:r>
      <w:r w:rsidR="00106AF8">
        <w:t>)</w:t>
      </w:r>
      <w:r w:rsidR="00B200B5">
        <w:t xml:space="preserve">. </w:t>
      </w:r>
    </w:p>
    <w:p w14:paraId="15C17573" w14:textId="50DE3FA2" w:rsidR="004550DB" w:rsidRDefault="00A7119F" w:rsidP="006312F0">
      <w:pPr>
        <w:pStyle w:val="WRAP"/>
        <w:ind w:firstLine="720"/>
      </w:pPr>
      <w:r>
        <w:t xml:space="preserve">Plaintiff </w:t>
      </w:r>
      <w:r w:rsidR="00106AF8">
        <w:t xml:space="preserve">argues </w:t>
      </w:r>
      <w:r>
        <w:t xml:space="preserve">that </w:t>
      </w:r>
      <w:r w:rsidR="00106AF8">
        <w:t>Atticus</w:t>
      </w:r>
      <w:r>
        <w:t xml:space="preserve"> and Defendant’s statuses were those of a parent and child. Defendant was not a party to any marital or contractual relationship</w:t>
      </w:r>
      <w:r w:rsidR="001B60D6">
        <w:t>, however,</w:t>
      </w:r>
      <w:r>
        <w:t xml:space="preserve"> that would give rise to a special relationship between himself and </w:t>
      </w:r>
      <w:r w:rsidR="00106AF8">
        <w:t>Atticus</w:t>
      </w:r>
      <w:r>
        <w:t xml:space="preserve">. </w:t>
      </w:r>
      <w:r w:rsidR="00982FF7">
        <w:rPr>
          <w:i/>
        </w:rPr>
        <w:t>E.g. Id</w:t>
      </w:r>
      <w:r w:rsidR="00D72C8B">
        <w:rPr>
          <w:i/>
        </w:rPr>
        <w:t>.</w:t>
      </w:r>
      <w:r w:rsidR="00D72C8B">
        <w:t xml:space="preserve"> (</w:t>
      </w:r>
      <w:r w:rsidR="00BF1A99">
        <w:t xml:space="preserve">holding </w:t>
      </w:r>
      <w:r w:rsidR="007F20FB">
        <w:t xml:space="preserve">that </w:t>
      </w:r>
      <w:r w:rsidR="00CD7D2A">
        <w:t xml:space="preserve">there was no special relationship because Defendant was not in a marital or contractual relationship with the child). </w:t>
      </w:r>
      <w:r>
        <w:t xml:space="preserve">Moreover, Plaintiff </w:t>
      </w:r>
      <w:r w:rsidR="00CD7D2A">
        <w:t>contends</w:t>
      </w:r>
      <w:r>
        <w:t xml:space="preserve"> that a special relationship existe</w:t>
      </w:r>
      <w:r w:rsidR="00D72C8B">
        <w:t>d according to</w:t>
      </w:r>
      <w:r w:rsidR="00AF28D8">
        <w:t xml:space="preserve"> Restatement</w:t>
      </w:r>
      <w:r w:rsidR="00D72C8B">
        <w:t xml:space="preserve"> §314A(4)</w:t>
      </w:r>
      <w:r w:rsidR="00AF28D8">
        <w:t>. However, a special relationship</w:t>
      </w:r>
      <w:r w:rsidR="00FE5633">
        <w:t xml:space="preserve"> was not created merely because Defendant allowed </w:t>
      </w:r>
      <w:r w:rsidR="00106AF8">
        <w:t>Atticus</w:t>
      </w:r>
      <w:r w:rsidR="00AF28D8">
        <w:t xml:space="preserve"> to live in his home</w:t>
      </w:r>
      <w:r w:rsidR="00FF2367">
        <w:t xml:space="preserve"> (Atticus Dep. 141</w:t>
      </w:r>
      <w:r w:rsidR="00AF28D8">
        <w:t>.</w:t>
      </w:r>
      <w:r w:rsidR="00FF2367">
        <w:t>)</w:t>
      </w:r>
      <w:r w:rsidR="00D45D22">
        <w:t xml:space="preserve"> Although Mary Atticus left </w:t>
      </w:r>
      <w:r w:rsidR="00106AF8">
        <w:t>Atticus</w:t>
      </w:r>
      <w:r w:rsidR="00D45D22">
        <w:t xml:space="preserve"> in Defendant’s home, it is not conclusive that Defendant was to be responsible for </w:t>
      </w:r>
      <w:r w:rsidR="00106AF8">
        <w:t>Atticus</w:t>
      </w:r>
      <w:r w:rsidR="00D45D22">
        <w:t>.</w:t>
      </w:r>
      <w:r w:rsidR="00FF2367">
        <w:t xml:space="preserve"> (</w:t>
      </w:r>
      <w:r w:rsidR="00FF2367">
        <w:rPr>
          <w:i/>
        </w:rPr>
        <w:t>Id.</w:t>
      </w:r>
      <w:r w:rsidR="00FF2367">
        <w:t>)</w:t>
      </w:r>
      <w:r w:rsidR="00AF28D8">
        <w:t xml:space="preserve"> In </w:t>
      </w:r>
      <w:r w:rsidR="00AF28D8">
        <w:rPr>
          <w:i/>
        </w:rPr>
        <w:t xml:space="preserve">Sunnarborg, </w:t>
      </w:r>
      <w:r w:rsidR="00AF28D8">
        <w:t>the court stated that</w:t>
      </w:r>
    </w:p>
    <w:p w14:paraId="05220E88" w14:textId="6D7F45E3" w:rsidR="00AF28D8" w:rsidRDefault="002D424D" w:rsidP="00E25FDC">
      <w:pPr>
        <w:pStyle w:val="WRAP"/>
        <w:spacing w:line="240" w:lineRule="auto"/>
        <w:ind w:left="720" w:right="720"/>
        <w:jc w:val="both"/>
      </w:pPr>
      <w:r>
        <w:t>t</w:t>
      </w:r>
      <w:r w:rsidR="00FE5633">
        <w:t xml:space="preserve">he responsibility of [a child] may be relinquished or obtained only upon the mutual consent, expressed or implied, by the one legally charged with the care of the child and by the one assuming the responsibility. </w:t>
      </w:r>
      <w:r>
        <w:t>[A]</w:t>
      </w:r>
      <w:r w:rsidR="00D45D22">
        <w:t xml:space="preserve"> parent may not impose the responsibility </w:t>
      </w:r>
      <w:r>
        <w:t xml:space="preserve">of supervision of his or her minor child on a third person unless that person accepts the responsibility, and a third person may not assumed such responsibility unless the parent grants it. </w:t>
      </w:r>
    </w:p>
    <w:p w14:paraId="51F9878A" w14:textId="77777777" w:rsidR="00E25FDC" w:rsidRDefault="00E25FDC" w:rsidP="002D424D">
      <w:pPr>
        <w:pStyle w:val="WRAP"/>
      </w:pPr>
    </w:p>
    <w:p w14:paraId="3A13EAC4" w14:textId="567D8E24" w:rsidR="00A7119F" w:rsidRDefault="002D424D" w:rsidP="001A2D4A">
      <w:pPr>
        <w:pStyle w:val="WRAP"/>
      </w:pPr>
      <w:r>
        <w:t>581 N.W.2d 397, 399 (citing</w:t>
      </w:r>
      <w:r>
        <w:rPr>
          <w:i/>
        </w:rPr>
        <w:t xml:space="preserve"> Laser v. Wilson,</w:t>
      </w:r>
      <w:r>
        <w:t xml:space="preserve"> 473 A.2d 523, </w:t>
      </w:r>
      <w:r w:rsidR="003077D4">
        <w:t xml:space="preserve">528-29 (Md. App. 1984). </w:t>
      </w:r>
      <w:r w:rsidR="00E25FDC">
        <w:t xml:space="preserve">Despite Mary </w:t>
      </w:r>
      <w:r w:rsidR="004F0176">
        <w:t xml:space="preserve">Atticus’ absence and her desire for Defendant to act as </w:t>
      </w:r>
      <w:r w:rsidR="00106AF8">
        <w:t>Atticus’</w:t>
      </w:r>
      <w:r w:rsidR="004F0176">
        <w:t xml:space="preserve"> guardian or father, Defendant did not consent nor display any intent to as</w:t>
      </w:r>
      <w:r w:rsidR="00AF0F7F">
        <w:t xml:space="preserve">sume responsibility over </w:t>
      </w:r>
      <w:r w:rsidR="00106AF8">
        <w:t>Atticus</w:t>
      </w:r>
      <w:r w:rsidR="00AF0F7F">
        <w:t>. (Atticus Dep. 153</w:t>
      </w:r>
      <w:r w:rsidR="00B04346">
        <w:t>.)</w:t>
      </w:r>
      <w:r w:rsidR="00D85BE3">
        <w:t xml:space="preserve"> Although, the record indicates that Defendant and Atticus shared meals together and attended </w:t>
      </w:r>
      <w:r w:rsidR="008B586F">
        <w:t xml:space="preserve">a few basketball games, this does not conclude that a special relationship existed. In </w:t>
      </w:r>
      <w:r w:rsidR="008B586F">
        <w:rPr>
          <w:i/>
        </w:rPr>
        <w:t>Sunnarborg</w:t>
      </w:r>
      <w:r w:rsidR="008B586F">
        <w:t xml:space="preserve">, </w:t>
      </w:r>
      <w:r w:rsidR="006F5A06">
        <w:t xml:space="preserve">the defendant </w:t>
      </w:r>
      <w:r w:rsidR="009D1DD4">
        <w:t>attended to the minor’s welfare, making sure she got to school and did her</w:t>
      </w:r>
      <w:r w:rsidR="008D6709">
        <w:t xml:space="preserve"> homework, providing her with meals</w:t>
      </w:r>
      <w:r w:rsidR="009D1DD4">
        <w:t xml:space="preserve">, and disciplining her when necessary. </w:t>
      </w:r>
      <w:r w:rsidR="009D1DD4">
        <w:rPr>
          <w:i/>
        </w:rPr>
        <w:t>Id.</w:t>
      </w:r>
      <w:r w:rsidR="009D1DD4">
        <w:t xml:space="preserve"> at 398. Despite these acts, the court found that no special relationship existed between the defendant</w:t>
      </w:r>
      <w:r w:rsidR="00A93C31">
        <w:t xml:space="preserve"> and the minor and granted the defendant’s summary judgment. </w:t>
      </w:r>
      <w:r w:rsidR="00A93C31">
        <w:rPr>
          <w:i/>
        </w:rPr>
        <w:t>Id.</w:t>
      </w:r>
      <w:r w:rsidR="00A93C31">
        <w:t xml:space="preserve"> at 399. </w:t>
      </w:r>
      <w:r w:rsidR="00AF0F7F">
        <w:t xml:space="preserve">Furthermore, Defendant did </w:t>
      </w:r>
      <w:r w:rsidR="005F64D1">
        <w:t xml:space="preserve">not believe that he was to care for </w:t>
      </w:r>
      <w:r w:rsidR="00106AF8">
        <w:t>Atticus</w:t>
      </w:r>
      <w:r w:rsidR="005F64D1">
        <w:t xml:space="preserve">, especially since </w:t>
      </w:r>
      <w:r w:rsidR="001B60D6">
        <w:t>Atticus</w:t>
      </w:r>
      <w:r w:rsidR="005F64D1">
        <w:t xml:space="preserve"> was </w:t>
      </w:r>
      <w:r w:rsidR="001A2D4A">
        <w:t>soon reaching the majority age</w:t>
      </w:r>
      <w:r w:rsidR="003B11CA">
        <w:t xml:space="preserve"> of 18</w:t>
      </w:r>
      <w:r w:rsidR="001A2D4A">
        <w:t xml:space="preserve">, and that </w:t>
      </w:r>
      <w:r w:rsidR="005F64D1">
        <w:t xml:space="preserve">he should </w:t>
      </w:r>
      <w:r w:rsidR="001A2D4A">
        <w:t>be independent and</w:t>
      </w:r>
      <w:r w:rsidR="00B04346">
        <w:t xml:space="preserve"> self-reliant. (Wager Dep. 30.)</w:t>
      </w:r>
    </w:p>
    <w:p w14:paraId="3A62DC76" w14:textId="4861F6D3" w:rsidR="00710277" w:rsidRDefault="00AF72FD" w:rsidP="00A7119F">
      <w:pPr>
        <w:pStyle w:val="WRAP"/>
        <w:ind w:firstLine="720"/>
      </w:pPr>
      <w:r>
        <w:t>Even if the court were to determine that a special relationship existed betw</w:t>
      </w:r>
      <w:r w:rsidR="002C339D">
        <w:t xml:space="preserve">een </w:t>
      </w:r>
      <w:r>
        <w:t>D</w:t>
      </w:r>
      <w:r w:rsidR="00CE19B8">
        <w:t xml:space="preserve">efendant and </w:t>
      </w:r>
      <w:r w:rsidR="001B60D6">
        <w:t>Atticus</w:t>
      </w:r>
      <w:r w:rsidR="006B15B2">
        <w:t xml:space="preserve">, a duty </w:t>
      </w:r>
      <w:r w:rsidR="003B11CA">
        <w:t xml:space="preserve">to warn </w:t>
      </w:r>
      <w:r w:rsidR="006B15B2">
        <w:t xml:space="preserve">can only exist when the </w:t>
      </w:r>
      <w:r w:rsidR="00784E20">
        <w:t>resulting injury</w:t>
      </w:r>
      <w:r w:rsidR="006B15B2">
        <w:t xml:space="preserve"> is foreseeable. </w:t>
      </w:r>
      <w:r w:rsidR="00FB570D">
        <w:rPr>
          <w:i/>
        </w:rPr>
        <w:t xml:space="preserve">See Bjerke, </w:t>
      </w:r>
      <w:r w:rsidR="003B11CA">
        <w:t>742 N.W.2d at</w:t>
      </w:r>
      <w:r w:rsidR="00FB570D">
        <w:t xml:space="preserve"> 667.</w:t>
      </w:r>
    </w:p>
    <w:p w14:paraId="2B93B6A5" w14:textId="77777777" w:rsidR="00C32287" w:rsidRPr="00784E20" w:rsidRDefault="00C32287" w:rsidP="00A7119F">
      <w:pPr>
        <w:pStyle w:val="WRAP"/>
        <w:ind w:firstLine="720"/>
        <w:rPr>
          <w:i/>
        </w:rPr>
      </w:pPr>
    </w:p>
    <w:p w14:paraId="13F90682" w14:textId="436108B5" w:rsidR="006C6C5C" w:rsidRDefault="006C6C5C" w:rsidP="003F7825">
      <w:pPr>
        <w:pStyle w:val="WRAP"/>
        <w:ind w:left="720"/>
        <w:rPr>
          <w:b/>
          <w:u w:val="single"/>
        </w:rPr>
      </w:pPr>
      <w:r>
        <w:rPr>
          <w:b/>
          <w:u w:val="single"/>
        </w:rPr>
        <w:t xml:space="preserve">B. </w:t>
      </w:r>
      <w:r w:rsidR="00EB77D0">
        <w:rPr>
          <w:b/>
          <w:u w:val="single"/>
        </w:rPr>
        <w:t>Justin Atticus’ impending criminal acts were not foreseeable by the De</w:t>
      </w:r>
      <w:r w:rsidR="003F7825">
        <w:rPr>
          <w:b/>
          <w:u w:val="single"/>
        </w:rPr>
        <w:t>fendant</w:t>
      </w:r>
      <w:r w:rsidR="00E91700">
        <w:rPr>
          <w:b/>
          <w:u w:val="single"/>
        </w:rPr>
        <w:t xml:space="preserve"> because Atticus did not have dangerous propensities and did not act on his first threat</w:t>
      </w:r>
      <w:r w:rsidR="003F7825">
        <w:rPr>
          <w:b/>
          <w:u w:val="single"/>
        </w:rPr>
        <w:t xml:space="preserve">, therefore, there was no duty to warn the decedent. </w:t>
      </w:r>
    </w:p>
    <w:p w14:paraId="5CD2A2CB" w14:textId="77777777" w:rsidR="00C32287" w:rsidRDefault="00C32287" w:rsidP="003F7825">
      <w:pPr>
        <w:pStyle w:val="WRAP"/>
        <w:ind w:left="720"/>
        <w:rPr>
          <w:b/>
          <w:u w:val="single"/>
        </w:rPr>
      </w:pPr>
    </w:p>
    <w:p w14:paraId="76E981A0" w14:textId="3CEC084B" w:rsidR="00DA70FB" w:rsidRDefault="00923524" w:rsidP="00910410">
      <w:pPr>
        <w:pStyle w:val="WRAP"/>
        <w:ind w:firstLine="720"/>
      </w:pPr>
      <w:r>
        <w:t xml:space="preserve">Potential harm must be sufficiently foreseeable in order to impose a legal duty to warn on Defendant. </w:t>
      </w:r>
      <w:r w:rsidR="00E91700">
        <w:rPr>
          <w:i/>
        </w:rPr>
        <w:t xml:space="preserve">Larson </w:t>
      </w:r>
      <w:r w:rsidR="00141AB1">
        <w:t xml:space="preserve">373 N.W.2d </w:t>
      </w:r>
      <w:r w:rsidR="00E91700">
        <w:t xml:space="preserve">at </w:t>
      </w:r>
      <w:r w:rsidR="00141AB1">
        <w:t>287</w:t>
      </w:r>
      <w:r w:rsidR="007B4241">
        <w:t xml:space="preserve">. </w:t>
      </w:r>
      <w:r w:rsidR="00CE19B8">
        <w:t>It is not</w:t>
      </w:r>
      <w:r w:rsidR="0027498A">
        <w:t xml:space="preserve"> reasonable to conclude that a</w:t>
      </w:r>
      <w:r w:rsidR="00CE19B8">
        <w:t xml:space="preserve"> person in Defendant’s position would anticipate that </w:t>
      </w:r>
      <w:r w:rsidR="001B60D6">
        <w:t>Atticus</w:t>
      </w:r>
      <w:r w:rsidR="00DD120B">
        <w:t xml:space="preserve"> would attack the decedent</w:t>
      </w:r>
      <w:r w:rsidR="00CE19B8">
        <w:t xml:space="preserve">. </w:t>
      </w:r>
      <w:r w:rsidR="001B60D6">
        <w:t>Atticus</w:t>
      </w:r>
      <w:r w:rsidR="00DD120B">
        <w:t xml:space="preserve"> did not have a history of exhibiting viol</w:t>
      </w:r>
      <w:r w:rsidR="00AC06E4">
        <w:t>ence towards others</w:t>
      </w:r>
      <w:r w:rsidR="005A017D">
        <w:t>.</w:t>
      </w:r>
      <w:r w:rsidR="00AC06E4">
        <w:t xml:space="preserve"> (</w:t>
      </w:r>
      <w:r w:rsidR="001A2D4A">
        <w:t>Atticus Dep. 86</w:t>
      </w:r>
      <w:r w:rsidR="00B04346">
        <w:t>.</w:t>
      </w:r>
      <w:r w:rsidR="00AC06E4">
        <w:t>)</w:t>
      </w:r>
    </w:p>
    <w:p w14:paraId="5BE5C241" w14:textId="5D775EBB" w:rsidR="0069324C" w:rsidRDefault="00281C5E" w:rsidP="00DE6598">
      <w:pPr>
        <w:pStyle w:val="WRAP"/>
        <w:ind w:firstLine="720"/>
      </w:pPr>
      <w:r>
        <w:t xml:space="preserve">The fact that </w:t>
      </w:r>
      <w:r w:rsidR="001B60D6">
        <w:t>Atticus</w:t>
      </w:r>
      <w:r>
        <w:t xml:space="preserve"> discontinued his use of medication and Defendant was</w:t>
      </w:r>
      <w:r w:rsidR="00A150C1">
        <w:t xml:space="preserve"> aware of such a fact does not </w:t>
      </w:r>
      <w:r w:rsidR="00DC4772">
        <w:t>establish that the attack was foresee</w:t>
      </w:r>
      <w:r w:rsidR="00A150C1">
        <w:t>able</w:t>
      </w:r>
      <w:r w:rsidR="00DC4772">
        <w:t>.</w:t>
      </w:r>
      <w:r w:rsidR="0027498A">
        <w:t xml:space="preserve"> (Wager Dep. 37.)</w:t>
      </w:r>
      <w:r w:rsidR="00DC4772">
        <w:t xml:space="preserve"> In </w:t>
      </w:r>
      <w:r w:rsidR="00DC4772">
        <w:rPr>
          <w:i/>
        </w:rPr>
        <w:t>Silberstein</w:t>
      </w:r>
      <w:r w:rsidR="007A3FB0">
        <w:rPr>
          <w:i/>
        </w:rPr>
        <w:t xml:space="preserve"> v Cordie, </w:t>
      </w:r>
      <w:r w:rsidR="007A3FB0">
        <w:t>474 N.W.2d 850</w:t>
      </w:r>
      <w:r w:rsidR="0006452F">
        <w:t xml:space="preserve"> (Minn. 1991)</w:t>
      </w:r>
      <w:r w:rsidR="00AD3AE9">
        <w:t>, the victim’s wife claimed</w:t>
      </w:r>
      <w:r w:rsidR="00DC4772">
        <w:t xml:space="preserve"> that the </w:t>
      </w:r>
      <w:r w:rsidR="00AD3AE9">
        <w:t>county had</w:t>
      </w:r>
      <w:r w:rsidR="00634A6B">
        <w:t xml:space="preserve"> a duty to warn her murdered husband. The assailant was</w:t>
      </w:r>
      <w:r w:rsidR="00AD3AE9">
        <w:t xml:space="preserve"> </w:t>
      </w:r>
      <w:r w:rsidR="00A150C1">
        <w:t>diagnosed as schizophrenic, paranoid type in remission, with alcohol and other substance abuse</w:t>
      </w:r>
      <w:r w:rsidR="007A3FB0">
        <w:t xml:space="preserve">. </w:t>
      </w:r>
      <w:r w:rsidR="0006452F">
        <w:t xml:space="preserve">In addition, he </w:t>
      </w:r>
      <w:r w:rsidR="00C04D55">
        <w:t>was prescribed medi</w:t>
      </w:r>
      <w:r w:rsidR="0006452F">
        <w:t>c</w:t>
      </w:r>
      <w:r w:rsidR="00C04D55">
        <w:t>ation by county services</w:t>
      </w:r>
      <w:r w:rsidR="00E5647E">
        <w:t xml:space="preserve"> and had made threats to harm and murder </w:t>
      </w:r>
      <w:r w:rsidR="00F04EC7">
        <w:t>the victim on two previous instances</w:t>
      </w:r>
      <w:r w:rsidR="00A150C1">
        <w:t xml:space="preserve">. </w:t>
      </w:r>
      <w:r w:rsidR="00A150C1">
        <w:rPr>
          <w:i/>
        </w:rPr>
        <w:t>Id.</w:t>
      </w:r>
      <w:r w:rsidR="00C04D55">
        <w:t xml:space="preserve"> </w:t>
      </w:r>
      <w:r w:rsidR="003641B8">
        <w:t xml:space="preserve">The court stated </w:t>
      </w:r>
      <w:r w:rsidR="00A7699A">
        <w:t>that the assailant’s “unwillingness to regularly take his medication…cannot be construed after the fact as creating a duty</w:t>
      </w:r>
      <w:r w:rsidR="0006452F">
        <w:t>.</w:t>
      </w:r>
      <w:r w:rsidR="00A7699A">
        <w:t xml:space="preserve">” </w:t>
      </w:r>
      <w:r w:rsidR="00A7699A">
        <w:rPr>
          <w:i/>
        </w:rPr>
        <w:t>Id.</w:t>
      </w:r>
      <w:r w:rsidR="00A7699A">
        <w:t xml:space="preserve"> The court also granted summary judgment for the assailant’s parents</w:t>
      </w:r>
      <w:r w:rsidR="00DA70FB">
        <w:t xml:space="preserve"> </w:t>
      </w:r>
      <w:r w:rsidR="002A1BC6">
        <w:t xml:space="preserve">concluding </w:t>
      </w:r>
      <w:r w:rsidR="0006452F">
        <w:t>the attack</w:t>
      </w:r>
      <w:r w:rsidR="00292440">
        <w:t xml:space="preserve"> was not foreseeable to them</w:t>
      </w:r>
      <w:r w:rsidR="002A1BC6">
        <w:t xml:space="preserve"> as a matter of law </w:t>
      </w:r>
      <w:r w:rsidR="00DA70FB">
        <w:t xml:space="preserve">even though they knew that he had refused to take his medication and that his delusional tendencies had returned. </w:t>
      </w:r>
      <w:r w:rsidR="00DA70FB">
        <w:rPr>
          <w:i/>
        </w:rPr>
        <w:t>Id.</w:t>
      </w:r>
      <w:r w:rsidR="00DA70FB">
        <w:t xml:space="preserve">at 856. </w:t>
      </w:r>
      <w:r w:rsidR="00BA7A92">
        <w:t xml:space="preserve">The </w:t>
      </w:r>
      <w:r w:rsidR="00774344">
        <w:t xml:space="preserve">fact that Defendant had knowledge that </w:t>
      </w:r>
      <w:r w:rsidR="001B60D6">
        <w:t>Atticus</w:t>
      </w:r>
      <w:r w:rsidR="00774344">
        <w:t xml:space="preserve"> had discontinued his use of his prescribed medications does not establish that Defendant could foresee that </w:t>
      </w:r>
      <w:r w:rsidR="001B60D6">
        <w:t>Atticus</w:t>
      </w:r>
      <w:r w:rsidR="00774344">
        <w:t xml:space="preserve"> would attack the decedent. </w:t>
      </w:r>
    </w:p>
    <w:p w14:paraId="0C51A8BA" w14:textId="77777777" w:rsidR="00B60C08" w:rsidRDefault="0006452F" w:rsidP="00DB4FE3">
      <w:pPr>
        <w:pStyle w:val="WRAP"/>
        <w:ind w:firstLine="720"/>
      </w:pPr>
      <w:r>
        <w:t>Furthermore,</w:t>
      </w:r>
      <w:r w:rsidR="00982DF9">
        <w:t xml:space="preserve"> </w:t>
      </w:r>
      <w:r w:rsidR="001B60D6">
        <w:t>Atticus’</w:t>
      </w:r>
      <w:r w:rsidR="00902B74">
        <w:t xml:space="preserve"> threat made on October 10, 2010 does not determine that he had dangerous propensities. </w:t>
      </w:r>
      <w:r w:rsidR="00B60C08">
        <w:t xml:space="preserve">(Compl. ¶ 6.) </w:t>
      </w:r>
      <w:r w:rsidR="001A2D4A">
        <w:t xml:space="preserve">The record </w:t>
      </w:r>
      <w:r w:rsidR="00D467AD">
        <w:t>indicates</w:t>
      </w:r>
      <w:r w:rsidR="001A2D4A">
        <w:t xml:space="preserve"> that s</w:t>
      </w:r>
      <w:r w:rsidR="00902B74">
        <w:t>ubsequently, after making this threat</w:t>
      </w:r>
      <w:r w:rsidR="00B60C08">
        <w:t>,</w:t>
      </w:r>
      <w:r w:rsidR="00902B74">
        <w:t xml:space="preserve"> </w:t>
      </w:r>
      <w:r w:rsidR="00BA7A92">
        <w:t xml:space="preserve">he did not attack the decedent nor did he </w:t>
      </w:r>
      <w:r w:rsidR="001A2D4A">
        <w:t xml:space="preserve">commit any violent crimes. </w:t>
      </w:r>
      <w:r w:rsidR="003B45D4">
        <w:t xml:space="preserve">According to Plaintiff, the decedent believed that </w:t>
      </w:r>
      <w:r w:rsidR="001B60D6">
        <w:t>Atticus</w:t>
      </w:r>
      <w:r w:rsidR="00B60C08">
        <w:t xml:space="preserve"> was embarrassed about</w:t>
      </w:r>
      <w:r w:rsidR="003B45D4">
        <w:t xml:space="preserve"> the first statement after immediately apologizing to him</w:t>
      </w:r>
      <w:r w:rsidR="00B60C08">
        <w:t>.</w:t>
      </w:r>
      <w:r w:rsidR="003B45D4">
        <w:t xml:space="preserve"> (Miles Dep. 57.) </w:t>
      </w:r>
      <w:r w:rsidR="001B60D6">
        <w:t>Atticus</w:t>
      </w:r>
      <w:r w:rsidR="00D05265">
        <w:t xml:space="preserve"> did not evidence any intention to carry out his prior threat. </w:t>
      </w:r>
    </w:p>
    <w:p w14:paraId="12D6CF54" w14:textId="7896CE05" w:rsidR="00DB4FE3" w:rsidRPr="00DB4FE3" w:rsidRDefault="00DB4FE3" w:rsidP="00DE0272">
      <w:pPr>
        <w:pStyle w:val="WRAP"/>
        <w:ind w:firstLine="720"/>
      </w:pPr>
      <w:r>
        <w:t xml:space="preserve">In </w:t>
      </w:r>
      <w:r>
        <w:rPr>
          <w:i/>
        </w:rPr>
        <w:t>Larson,</w:t>
      </w:r>
      <w:r>
        <w:t xml:space="preserve"> the court granted summary judgment in favor of the defendant stating that he did not owe the plaintiff a duty to warn him of unforeseeable and speculative dangers. </w:t>
      </w:r>
      <w:r>
        <w:rPr>
          <w:i/>
        </w:rPr>
        <w:t>Larson</w:t>
      </w:r>
      <w:r w:rsidR="00B60C08">
        <w:rPr>
          <w:i/>
        </w:rPr>
        <w:t>,</w:t>
      </w:r>
      <w:r>
        <w:rPr>
          <w:i/>
        </w:rPr>
        <w:t xml:space="preserve"> </w:t>
      </w:r>
      <w:r w:rsidR="00B60C08">
        <w:t xml:space="preserve">373 N.W.2d at </w:t>
      </w:r>
      <w:r>
        <w:t xml:space="preserve">287.  The </w:t>
      </w:r>
      <w:r w:rsidR="007749A5">
        <w:t xml:space="preserve">defendant was a police officer who, during the course of an arrest of an driver, received a threat the offender might “get” his house. </w:t>
      </w:r>
      <w:r w:rsidR="007749A5">
        <w:rPr>
          <w:i/>
        </w:rPr>
        <w:t xml:space="preserve">Id. </w:t>
      </w:r>
      <w:r w:rsidR="007749A5">
        <w:t xml:space="preserve">at 288. </w:t>
      </w:r>
      <w:r w:rsidR="00107D08">
        <w:t xml:space="preserve">While the defendant left his house in the care of his brother (the plaintiff), the house was attacked and the plaintiff sustained injuries. </w:t>
      </w:r>
      <w:r w:rsidR="00107D08">
        <w:rPr>
          <w:i/>
        </w:rPr>
        <w:t xml:space="preserve">Id. </w:t>
      </w:r>
      <w:r w:rsidR="00DE0272">
        <w:t xml:space="preserve">The plaintiff claimed that the defendant had a duty to warn him, however, the </w:t>
      </w:r>
      <w:r>
        <w:t xml:space="preserve">court declared that it was “clear that any risk was too speculative to impose a duty on [the defendant] to warn.” </w:t>
      </w:r>
      <w:r>
        <w:rPr>
          <w:i/>
        </w:rPr>
        <w:t xml:space="preserve">Id. </w:t>
      </w:r>
      <w:r>
        <w:t xml:space="preserve">at 289. Similar to </w:t>
      </w:r>
      <w:r>
        <w:rPr>
          <w:i/>
        </w:rPr>
        <w:t>Larson</w:t>
      </w:r>
      <w:r w:rsidR="00FD21C0">
        <w:t xml:space="preserve">, any risk was too abstract for Defendant to foresee that </w:t>
      </w:r>
      <w:r w:rsidR="001B60D6">
        <w:t>Atticus</w:t>
      </w:r>
      <w:r w:rsidR="00FD21C0">
        <w:t xml:space="preserve"> would attack the decedent based on the two threats made by </w:t>
      </w:r>
      <w:r w:rsidR="001B60D6">
        <w:t>Atticus</w:t>
      </w:r>
      <w:r w:rsidR="00FD21C0">
        <w:t xml:space="preserve">.  </w:t>
      </w:r>
    </w:p>
    <w:p w14:paraId="27DECC66" w14:textId="224E16EE" w:rsidR="00C67C5A" w:rsidRDefault="00B63823" w:rsidP="00DE0272">
      <w:pPr>
        <w:pStyle w:val="WRAP"/>
        <w:ind w:firstLine="720"/>
      </w:pPr>
      <w:r>
        <w:t xml:space="preserve">In </w:t>
      </w:r>
      <w:r w:rsidR="009C1770">
        <w:t>clear cases</w:t>
      </w:r>
      <w:r>
        <w:t xml:space="preserve">, such as the instant case, </w:t>
      </w:r>
      <w:r w:rsidR="009C1770">
        <w:t>the issue of foreseeability should be decided by the court as a matter of law</w:t>
      </w:r>
      <w:r>
        <w:t>.</w:t>
      </w:r>
      <w:r w:rsidR="009C1770">
        <w:t xml:space="preserve"> </w:t>
      </w:r>
      <w:r w:rsidR="009C1770">
        <w:rPr>
          <w:i/>
        </w:rPr>
        <w:t xml:space="preserve">See </w:t>
      </w:r>
      <w:r w:rsidR="00DE0272">
        <w:rPr>
          <w:i/>
        </w:rPr>
        <w:t>Id.</w:t>
      </w:r>
      <w:r>
        <w:t xml:space="preserve"> </w:t>
      </w:r>
      <w:r w:rsidR="009C1770">
        <w:t>I</w:t>
      </w:r>
      <w:r w:rsidR="00C67C5A">
        <w:t xml:space="preserve">t </w:t>
      </w:r>
      <w:r w:rsidR="005A79AA">
        <w:t xml:space="preserve">is not reasonable to conclude that Defendant could have foreseen that </w:t>
      </w:r>
      <w:r w:rsidR="001B60D6">
        <w:t>Atticus’</w:t>
      </w:r>
      <w:r w:rsidR="005A79AA">
        <w:t xml:space="preserve"> March 21, 2011 threat could have matured into an attack resulting in the murder of the decedent.</w:t>
      </w:r>
      <w:r w:rsidR="009C1770">
        <w:t xml:space="preserve"> </w:t>
      </w:r>
      <w:r w:rsidR="00475591">
        <w:t>Therefore, a duty to warn should not be imposed on Defendant.</w:t>
      </w:r>
    </w:p>
    <w:p w14:paraId="17BC3132" w14:textId="77777777" w:rsidR="00C32287" w:rsidRDefault="00C32287" w:rsidP="00762CFD">
      <w:pPr>
        <w:pStyle w:val="WRAP"/>
        <w:ind w:firstLine="720"/>
      </w:pPr>
    </w:p>
    <w:p w14:paraId="0372749D" w14:textId="7A223897" w:rsidR="003F7825" w:rsidRDefault="003F7825" w:rsidP="003F7825">
      <w:pPr>
        <w:pStyle w:val="WRAP"/>
        <w:ind w:left="720"/>
        <w:rPr>
          <w:b/>
          <w:u w:val="single"/>
        </w:rPr>
      </w:pPr>
      <w:r>
        <w:rPr>
          <w:b/>
          <w:u w:val="single"/>
        </w:rPr>
        <w:t xml:space="preserve">C. No duty to warn can be imposed on the Defendant because Justin Atticus’ March 21, 2011 threat does not constitute a specific threat </w:t>
      </w:r>
      <w:r w:rsidR="00FC61A0">
        <w:rPr>
          <w:b/>
          <w:u w:val="single"/>
        </w:rPr>
        <w:t xml:space="preserve">against a specific victim. </w:t>
      </w:r>
    </w:p>
    <w:p w14:paraId="29B810C6" w14:textId="77777777" w:rsidR="00C32287" w:rsidRPr="006C6C5C" w:rsidRDefault="00C32287" w:rsidP="003F7825">
      <w:pPr>
        <w:pStyle w:val="WRAP"/>
        <w:ind w:left="720"/>
        <w:rPr>
          <w:b/>
          <w:u w:val="single"/>
        </w:rPr>
      </w:pPr>
    </w:p>
    <w:p w14:paraId="27304B26" w14:textId="59C3500C" w:rsidR="0092141F" w:rsidRDefault="0092141F" w:rsidP="009C2AD7">
      <w:pPr>
        <w:pStyle w:val="WRAP"/>
      </w:pPr>
      <w:r>
        <w:tab/>
      </w:r>
      <w:r w:rsidR="00674ED3">
        <w:t xml:space="preserve">If a duty to warn exists, it does so only when a specific threat is made against a specific victim. </w:t>
      </w:r>
      <w:r w:rsidR="00CE192E">
        <w:rPr>
          <w:i/>
        </w:rPr>
        <w:t>Cairl v State</w:t>
      </w:r>
      <w:r w:rsidR="00CE192E">
        <w:t xml:space="preserve">, 323 N.W.2d 20, 26. </w:t>
      </w:r>
      <w:r w:rsidR="001B60D6">
        <w:t>Atticus’</w:t>
      </w:r>
      <w:r w:rsidR="00CE192E">
        <w:t xml:space="preserve"> March 21, 2011, threat </w:t>
      </w:r>
      <w:r w:rsidR="00AE603B">
        <w:t xml:space="preserve">did not name the decedent and this fact is not disputed. </w:t>
      </w:r>
      <w:r w:rsidR="00D228D8">
        <w:t xml:space="preserve">(Wager Dep. 51.) </w:t>
      </w:r>
      <w:r w:rsidR="00017816">
        <w:t>Ac</w:t>
      </w:r>
      <w:r w:rsidR="00D228D8">
        <w:t xml:space="preserve">cording to Plaintiff’s pleading, </w:t>
      </w:r>
      <w:r w:rsidR="001B60D6">
        <w:t>Atticus</w:t>
      </w:r>
      <w:r w:rsidR="00F00749">
        <w:t xml:space="preserve"> said he was going to “get even with </w:t>
      </w:r>
      <w:r w:rsidR="00FB29C1">
        <w:t>the jerk, even if it kills me.” (</w:t>
      </w:r>
      <w:r w:rsidR="002D00AA">
        <w:t xml:space="preserve">Compl. ¶ </w:t>
      </w:r>
      <w:r w:rsidR="00D228D8">
        <w:t xml:space="preserve">16.) </w:t>
      </w:r>
      <w:r w:rsidR="00FB29C1">
        <w:t>This threat was no</w:t>
      </w:r>
      <w:r w:rsidR="002246EC">
        <w:t xml:space="preserve">nspecific and general in nature. Therefore, the threat showed </w:t>
      </w:r>
      <w:r w:rsidR="00FB29C1">
        <w:t xml:space="preserve">no indication to Defendant that </w:t>
      </w:r>
      <w:r w:rsidR="001B60D6">
        <w:t>Atticus</w:t>
      </w:r>
      <w:r w:rsidR="00FB29C1">
        <w:t xml:space="preserve"> was intending to attack the decedent. </w:t>
      </w:r>
    </w:p>
    <w:p w14:paraId="29E14E9A" w14:textId="77777777" w:rsidR="000B036A" w:rsidRDefault="00D05265" w:rsidP="003165C6">
      <w:pPr>
        <w:pStyle w:val="WRAP"/>
      </w:pPr>
      <w:r>
        <w:tab/>
      </w:r>
      <w:r w:rsidR="00FD21C0">
        <w:t xml:space="preserve">In </w:t>
      </w:r>
      <w:r w:rsidR="00FD21C0">
        <w:rPr>
          <w:i/>
        </w:rPr>
        <w:t>Cairl</w:t>
      </w:r>
      <w:r w:rsidR="00D975FD">
        <w:rPr>
          <w:i/>
        </w:rPr>
        <w:t>,</w:t>
      </w:r>
      <w:r w:rsidR="00FD21C0">
        <w:t xml:space="preserve"> </w:t>
      </w:r>
      <w:r w:rsidR="00C479FF">
        <w:t xml:space="preserve">in determining the rule of duty to warn, </w:t>
      </w:r>
      <w:r w:rsidR="00FD21C0">
        <w:t>the court</w:t>
      </w:r>
      <w:r w:rsidR="00C479FF">
        <w:t xml:space="preserve"> cited</w:t>
      </w:r>
      <w:r w:rsidR="00D975FD">
        <w:rPr>
          <w:i/>
        </w:rPr>
        <w:t xml:space="preserve"> </w:t>
      </w:r>
      <w:r w:rsidR="009F2754">
        <w:t>a California</w:t>
      </w:r>
      <w:r w:rsidR="00D975FD">
        <w:t xml:space="preserve"> case where a juvenile offender with violent, dangerous propensities had indicated that if he were released </w:t>
      </w:r>
      <w:r w:rsidR="009F2754">
        <w:t>from the correctional</w:t>
      </w:r>
      <w:r w:rsidR="00DB4FE3">
        <w:t xml:space="preserve"> facility he would take the life of a</w:t>
      </w:r>
      <w:r w:rsidR="002246EC">
        <w:t>ny</w:t>
      </w:r>
      <w:r w:rsidR="00DB4FE3">
        <w:t xml:space="preserve"> neighborhood child. </w:t>
      </w:r>
      <w:r w:rsidR="009F2754">
        <w:rPr>
          <w:i/>
        </w:rPr>
        <w:t xml:space="preserve">Id. </w:t>
      </w:r>
      <w:r w:rsidR="00A348A4">
        <w:t xml:space="preserve">(citing </w:t>
      </w:r>
      <w:r w:rsidR="00A348A4">
        <w:rPr>
          <w:i/>
        </w:rPr>
        <w:t>Thompson v. County of Alameda</w:t>
      </w:r>
      <w:r w:rsidR="003F6C60">
        <w:t xml:space="preserve">, 614 </w:t>
      </w:r>
      <w:r w:rsidR="008506FD">
        <w:t xml:space="preserve">P.2d 728, 167 (Cal. 1980)). Within 24 hours of release, the juvenile offender murdered a child. </w:t>
      </w:r>
      <w:r w:rsidR="008506FD">
        <w:rPr>
          <w:i/>
        </w:rPr>
        <w:t>Id.</w:t>
      </w:r>
      <w:r w:rsidR="008506FD">
        <w:t xml:space="preserve"> It was declared that the victim “was not a foreseeable or readily identifiable target of the juvenile offender’s threats.”</w:t>
      </w:r>
      <w:r w:rsidR="000B036A">
        <w:t xml:space="preserve"> </w:t>
      </w:r>
      <w:r w:rsidR="000B036A">
        <w:rPr>
          <w:i/>
        </w:rPr>
        <w:t>Id.</w:t>
      </w:r>
      <w:r w:rsidR="008506FD">
        <w:t xml:space="preserve"> Therefore</w:t>
      </w:r>
      <w:r w:rsidR="000B036A">
        <w:t xml:space="preserve">, </w:t>
      </w:r>
      <w:r w:rsidR="008506FD">
        <w:t xml:space="preserve">a duty to warn could not be imposed upon the county. </w:t>
      </w:r>
      <w:r w:rsidR="008506FD">
        <w:rPr>
          <w:i/>
        </w:rPr>
        <w:t>Id</w:t>
      </w:r>
      <w:r w:rsidR="008506FD">
        <w:t>.</w:t>
      </w:r>
      <w:r w:rsidR="000A497B">
        <w:t xml:space="preserve"> </w:t>
      </w:r>
    </w:p>
    <w:p w14:paraId="5B83E429" w14:textId="131866BA" w:rsidR="006C6C5C" w:rsidRDefault="005A105D" w:rsidP="000B036A">
      <w:pPr>
        <w:pStyle w:val="WRAP"/>
        <w:ind w:firstLine="720"/>
      </w:pPr>
      <w:r>
        <w:t xml:space="preserve">Similar to the victim in cited in </w:t>
      </w:r>
      <w:r>
        <w:rPr>
          <w:i/>
        </w:rPr>
        <w:t>Cairl</w:t>
      </w:r>
      <w:r>
        <w:t xml:space="preserve">, the decedent was not an identifiable potential victim because he was not specified when </w:t>
      </w:r>
      <w:r w:rsidR="001B60D6">
        <w:t>Atticus’</w:t>
      </w:r>
      <w:r>
        <w:t xml:space="preserve"> threat was made.</w:t>
      </w:r>
      <w:r w:rsidR="00D535ED">
        <w:t xml:space="preserve"> </w:t>
      </w:r>
      <w:r w:rsidR="00F50B36">
        <w:t xml:space="preserve">Plaintiff </w:t>
      </w:r>
      <w:r w:rsidR="000B036A">
        <w:t>argues</w:t>
      </w:r>
      <w:r w:rsidR="00F50B36">
        <w:t xml:space="preserve"> that the threat was advanced towards the decedent and specific in nature because Defendant had knowledge that </w:t>
      </w:r>
      <w:r w:rsidR="001B60D6">
        <w:t>Atticus</w:t>
      </w:r>
      <w:r w:rsidR="00F50B36">
        <w:t xml:space="preserve"> </w:t>
      </w:r>
      <w:r w:rsidR="003F5D7B">
        <w:t xml:space="preserve">had made the previous threat and was denied again by the decedent a role in a play. </w:t>
      </w:r>
      <w:r w:rsidR="0027107B">
        <w:t xml:space="preserve">This argument lacks merit because </w:t>
      </w:r>
      <w:r w:rsidR="00586625">
        <w:t>more than</w:t>
      </w:r>
      <w:r w:rsidR="0027107B">
        <w:t xml:space="preserve"> five months had lapsed since the first threat was made and Defendant</w:t>
      </w:r>
      <w:r w:rsidR="00586625">
        <w:t>,</w:t>
      </w:r>
      <w:r w:rsidR="0027107B">
        <w:t xml:space="preserve"> objectively</w:t>
      </w:r>
      <w:r w:rsidR="00586625">
        <w:t>,</w:t>
      </w:r>
      <w:r w:rsidR="0027107B">
        <w:t xml:space="preserve"> could not conclude </w:t>
      </w:r>
      <w:r w:rsidR="00586625">
        <w:t>tha</w:t>
      </w:r>
      <w:r w:rsidR="00FD39B1">
        <w:t xml:space="preserve">t when </w:t>
      </w:r>
      <w:r w:rsidR="001B60D6">
        <w:t>Atticus</w:t>
      </w:r>
      <w:r w:rsidR="00FD39B1">
        <w:t xml:space="preserve"> made his</w:t>
      </w:r>
      <w:r w:rsidR="000B036A">
        <w:t xml:space="preserve"> second</w:t>
      </w:r>
      <w:r w:rsidR="00FD39B1">
        <w:t xml:space="preserve"> threat he </w:t>
      </w:r>
      <w:r w:rsidR="00586625">
        <w:t xml:space="preserve">was referring to the decedent. </w:t>
      </w:r>
    </w:p>
    <w:p w14:paraId="13E62B53" w14:textId="4255447D" w:rsidR="008B1CCF" w:rsidRDefault="003452F5" w:rsidP="000B036A">
      <w:pPr>
        <w:pStyle w:val="WRAP"/>
        <w:ind w:firstLine="720"/>
      </w:pPr>
      <w:r>
        <w:t xml:space="preserve">In addition, </w:t>
      </w:r>
      <w:r w:rsidR="004C350A">
        <w:t xml:space="preserve">this threat was </w:t>
      </w:r>
      <w:r w:rsidR="00CC5B8F">
        <w:t>vague</w:t>
      </w:r>
      <w:r w:rsidR="004C350A">
        <w:t xml:space="preserve"> because it did not specify the manner by which Atticus was going to carry out the threat. </w:t>
      </w:r>
      <w:r w:rsidR="004441B1">
        <w:t xml:space="preserve">(Wager Dep. 51.) “Get even” could mean a variety of </w:t>
      </w:r>
      <w:r w:rsidR="00CC5B8F">
        <w:t>acts</w:t>
      </w:r>
      <w:r w:rsidR="004441B1">
        <w:t xml:space="preserve"> and does not establish that Atticus was going to </w:t>
      </w:r>
      <w:r w:rsidR="004D294C">
        <w:t>be violent or stab the decedent</w:t>
      </w:r>
      <w:r w:rsidR="004441B1">
        <w:t xml:space="preserve">. Consequently, </w:t>
      </w:r>
      <w:r w:rsidR="00861344">
        <w:t xml:space="preserve">Defendant could not have known </w:t>
      </w:r>
      <w:r w:rsidR="00CC5B8F">
        <w:t xml:space="preserve">of what the warning would consist. </w:t>
      </w:r>
      <w:r w:rsidR="00861344">
        <w:t xml:space="preserve"> </w:t>
      </w:r>
      <w:r w:rsidR="004441B1">
        <w:t xml:space="preserve"> </w:t>
      </w:r>
    </w:p>
    <w:p w14:paraId="6658834E" w14:textId="68EB81AE" w:rsidR="005543FE" w:rsidRDefault="00586625" w:rsidP="00D535ED">
      <w:pPr>
        <w:pStyle w:val="WRAP"/>
        <w:ind w:firstLine="720"/>
      </w:pPr>
      <w:r>
        <w:t xml:space="preserve">Policy reasons also support the argument that Defendant did not owe a duty to warn when there no specific threat is made towards a specific victim. </w:t>
      </w:r>
      <w:r w:rsidR="005A105D">
        <w:t xml:space="preserve">“The issue of whether a duty should be imposed on an individual is at its foundation a question of policy: to what extent should [the court] hold one accountable to others for his actions or those actions of others?” </w:t>
      </w:r>
      <w:r w:rsidR="005A105D">
        <w:rPr>
          <w:i/>
        </w:rPr>
        <w:t>Patzwald v. Krey,</w:t>
      </w:r>
      <w:r w:rsidR="005A105D">
        <w:t xml:space="preserve"> 390 N.W.2d 920, 923 (Minn. 1986). </w:t>
      </w:r>
      <w:r w:rsidR="004446A7">
        <w:t>If a</w:t>
      </w:r>
      <w:r w:rsidR="008742F6">
        <w:t xml:space="preserve"> burden to warn </w:t>
      </w:r>
      <w:r w:rsidR="004446A7">
        <w:t>were to be imposed so broadly,</w:t>
      </w:r>
      <w:r w:rsidR="008742F6">
        <w:t xml:space="preserve"> it would discourage people from allowing others to stay in their homes</w:t>
      </w:r>
      <w:r w:rsidR="000860B3">
        <w:t xml:space="preserve"> for fear of being responsibility for the acts of others</w:t>
      </w:r>
      <w:r w:rsidR="008742F6">
        <w:t xml:space="preserve">. </w:t>
      </w:r>
      <w:r w:rsidR="00DE3A64">
        <w:t>Defendant h</w:t>
      </w:r>
      <w:r w:rsidR="00D535ED">
        <w:t xml:space="preserve">ad inquired as to the meaning of the threat when he asked </w:t>
      </w:r>
      <w:r w:rsidR="001B60D6">
        <w:t>Atticus</w:t>
      </w:r>
      <w:r w:rsidR="00D535ED">
        <w:t xml:space="preserve"> what he meant by it, however, </w:t>
      </w:r>
      <w:r w:rsidR="001B60D6">
        <w:t>Atticus</w:t>
      </w:r>
      <w:r w:rsidR="00D535ED">
        <w:t xml:space="preserve"> replied that he did not wish to talk about it and walked away. (</w:t>
      </w:r>
      <w:r w:rsidR="00B04346">
        <w:t xml:space="preserve">Wager Dep. 51.) </w:t>
      </w:r>
      <w:r w:rsidR="00DE3A64">
        <w:t xml:space="preserve">It is not reasonable to expect </w:t>
      </w:r>
      <w:r w:rsidR="00584C3D">
        <w:t xml:space="preserve">that every time a teenage boy </w:t>
      </w:r>
      <w:r w:rsidR="00FF0EFA">
        <w:t>makes an unspecified threat</w:t>
      </w:r>
      <w:r w:rsidR="005B167C">
        <w:t>,</w:t>
      </w:r>
      <w:r w:rsidR="00FF0EFA">
        <w:t xml:space="preserve"> </w:t>
      </w:r>
      <w:r w:rsidR="005B167C">
        <w:t xml:space="preserve">those who are aware of the existence of the threat </w:t>
      </w:r>
      <w:r w:rsidR="00FF0EFA">
        <w:t>must</w:t>
      </w:r>
      <w:r w:rsidR="00D535ED">
        <w:t xml:space="preserve"> </w:t>
      </w:r>
      <w:r w:rsidR="00FF0EFA">
        <w:t xml:space="preserve">determine </w:t>
      </w:r>
      <w:r w:rsidR="00020AD9">
        <w:t>recipient of the threat</w:t>
      </w:r>
      <w:r w:rsidR="00DE3A64">
        <w:t xml:space="preserve"> </w:t>
      </w:r>
      <w:r w:rsidR="00FF0EFA">
        <w:t xml:space="preserve">and </w:t>
      </w:r>
      <w:r w:rsidR="00D535ED">
        <w:t xml:space="preserve">warn every possible victim. </w:t>
      </w:r>
      <w:r w:rsidR="00307560">
        <w:t xml:space="preserve">According to the facts, </w:t>
      </w:r>
      <w:r w:rsidR="001B60D6">
        <w:t>Atticus</w:t>
      </w:r>
      <w:r w:rsidR="00307560">
        <w:t xml:space="preserve"> did not name a specific person when making the threat</w:t>
      </w:r>
      <w:r w:rsidR="00020AD9">
        <w:t>,</w:t>
      </w:r>
      <w:r w:rsidR="00307560">
        <w:t xml:space="preserve"> but referred to </w:t>
      </w:r>
      <w:r w:rsidR="00020AD9">
        <w:t xml:space="preserve">a “jerk”. </w:t>
      </w:r>
      <w:r w:rsidR="00307560">
        <w:t xml:space="preserve"> </w:t>
      </w:r>
      <w:r w:rsidR="008B1CCF">
        <w:t xml:space="preserve">Defendant had no way of knowing that “jerk” was referring to the decedent. </w:t>
      </w:r>
    </w:p>
    <w:p w14:paraId="0E411D67" w14:textId="53DC7B0E" w:rsidR="00E058CB" w:rsidRDefault="001A397B" w:rsidP="004446A7">
      <w:pPr>
        <w:pStyle w:val="WRAP"/>
        <w:ind w:firstLine="720"/>
      </w:pPr>
      <w:r>
        <w:t>Because</w:t>
      </w:r>
      <w:r w:rsidR="005F66E8">
        <w:t xml:space="preserve"> </w:t>
      </w:r>
      <w:r w:rsidR="001B60D6">
        <w:t>Atticus</w:t>
      </w:r>
      <w:r w:rsidR="005F66E8">
        <w:t xml:space="preserve"> did not name the decedent and </w:t>
      </w:r>
      <w:r w:rsidR="003068F5">
        <w:t>did not specify the manner in which he intended to carry out the threat</w:t>
      </w:r>
      <w:r>
        <w:t>, the threat cannot be concluded as a</w:t>
      </w:r>
      <w:r w:rsidR="005F66E8">
        <w:t xml:space="preserve"> specified threat</w:t>
      </w:r>
      <w:r>
        <w:t xml:space="preserve"> toward a specified victim</w:t>
      </w:r>
      <w:r w:rsidR="008F3872">
        <w:t>,</w:t>
      </w:r>
      <w:r>
        <w:t xml:space="preserve"> which</w:t>
      </w:r>
      <w:r w:rsidR="005F66E8">
        <w:t xml:space="preserve"> </w:t>
      </w:r>
      <w:r>
        <w:t xml:space="preserve">is requisite to impose a duty to warn on Defendant. The vagueness of the threat, along with policy justifications, support the conclusion that no duty </w:t>
      </w:r>
      <w:r w:rsidR="004678BB">
        <w:t xml:space="preserve">to </w:t>
      </w:r>
      <w:r>
        <w:t>warn the dec</w:t>
      </w:r>
      <w:r w:rsidR="008B1CCF">
        <w:t>edent of potential harm existed. T</w:t>
      </w:r>
      <w:r>
        <w:t xml:space="preserve">herefore, Defendant should be entitled to summary judgment as a matter of law. </w:t>
      </w:r>
    </w:p>
    <w:p w14:paraId="3C1022FA" w14:textId="77777777" w:rsidR="00690D89" w:rsidRDefault="00690D89" w:rsidP="00A93C31">
      <w:pPr>
        <w:pStyle w:val="WRAP"/>
        <w:jc w:val="center"/>
        <w:rPr>
          <w:b/>
        </w:rPr>
      </w:pPr>
    </w:p>
    <w:p w14:paraId="0D3F7E6E" w14:textId="77777777" w:rsidR="00A93C31" w:rsidRDefault="00A93C31" w:rsidP="00A93C31">
      <w:pPr>
        <w:pStyle w:val="WRAP"/>
        <w:jc w:val="center"/>
        <w:rPr>
          <w:b/>
        </w:rPr>
      </w:pPr>
      <w:r>
        <w:rPr>
          <w:b/>
        </w:rPr>
        <w:t>CONCLUSION</w:t>
      </w:r>
    </w:p>
    <w:p w14:paraId="7311A572" w14:textId="521AAEDB" w:rsidR="00E058CB" w:rsidRDefault="00A93C31" w:rsidP="00690D89">
      <w:pPr>
        <w:pStyle w:val="WRAP"/>
        <w:ind w:firstLine="720"/>
      </w:pPr>
      <w:r>
        <w:t xml:space="preserve">For the reasons set forth above, Defendant is entitled to summary judgment on Plaintiff’s claim of negligence. </w:t>
      </w:r>
      <w:r w:rsidR="00C234D0">
        <w:t>There is no evidence indicating that Defendant owed a legal duty to warn the decedent.</w:t>
      </w:r>
      <w:r w:rsidRPr="00F35CAF">
        <w:t xml:space="preserve"> </w:t>
      </w:r>
      <w:r>
        <w:t xml:space="preserve">The Defendant does not owe a duty to warn the decedent because there was no special relationship, the impending attack was not foreseeable, and the threats were not specific in nature or made against specific victims. Therefore, </w:t>
      </w:r>
      <w:r w:rsidRPr="00F35CAF">
        <w:t>Defendant Paul Wager</w:t>
      </w:r>
      <w:r>
        <w:t xml:space="preserve"> </w:t>
      </w:r>
      <w:r w:rsidR="00C234D0">
        <w:t>respectfully requests that his motion for summary j</w:t>
      </w:r>
      <w:r>
        <w:t>udg</w:t>
      </w:r>
      <w:r w:rsidR="00C234D0">
        <w:t xml:space="preserve">ment be granted in its entirety and dismiss Plaintiff’s claim. </w:t>
      </w:r>
    </w:p>
    <w:p w14:paraId="73062EBA" w14:textId="77777777" w:rsidR="00690D89" w:rsidRDefault="00690D89" w:rsidP="00E058CB">
      <w:pPr>
        <w:pStyle w:val="WRAP"/>
      </w:pPr>
    </w:p>
    <w:p w14:paraId="4066054A" w14:textId="64B2DFD2" w:rsidR="004446A7" w:rsidRDefault="00E058CB" w:rsidP="00E058CB">
      <w:pPr>
        <w:pStyle w:val="WRAP"/>
      </w:pPr>
      <w:r>
        <w:t>Respectfully submitted,</w:t>
      </w:r>
    </w:p>
    <w:p w14:paraId="3D417A71" w14:textId="77777777" w:rsidR="00690D89" w:rsidRDefault="00690D89" w:rsidP="00E058CB">
      <w:pPr>
        <w:pStyle w:val="WRAP"/>
      </w:pPr>
    </w:p>
    <w:p w14:paraId="3CEC6139" w14:textId="264A15C5" w:rsidR="0009319C" w:rsidRDefault="0009319C" w:rsidP="004446A7">
      <w:pPr>
        <w:pStyle w:val="WRAP"/>
        <w:spacing w:line="240" w:lineRule="auto"/>
      </w:pPr>
      <w:r>
        <w:t xml:space="preserve">Dated: </w:t>
      </w:r>
      <w:r>
        <w:softHyphen/>
      </w:r>
      <w:r>
        <w:softHyphen/>
      </w:r>
      <w:r>
        <w:softHyphen/>
      </w:r>
      <w:r>
        <w:softHyphen/>
        <w:t>_______________</w:t>
      </w:r>
      <w:r>
        <w:tab/>
      </w:r>
      <w:r>
        <w:tab/>
        <w:t>______________________</w:t>
      </w:r>
    </w:p>
    <w:p w14:paraId="109BD35D" w14:textId="06016B3E" w:rsidR="00E058CB" w:rsidRPr="003165C6" w:rsidRDefault="0009319C" w:rsidP="004415FC">
      <w:pPr>
        <w:pStyle w:val="WRAP"/>
        <w:spacing w:line="240" w:lineRule="auto"/>
      </w:pPr>
      <w:r>
        <w:tab/>
      </w:r>
      <w:r>
        <w:tab/>
      </w:r>
      <w:r>
        <w:tab/>
      </w:r>
      <w:r>
        <w:tab/>
      </w:r>
      <w:r>
        <w:tab/>
      </w:r>
      <w:r>
        <w:tab/>
      </w:r>
      <w:r w:rsidR="004415FC">
        <w:rPr>
          <w:szCs w:val="28"/>
        </w:rPr>
        <w:t>&lt;redacted&gt;&lt;/redacted&gt;</w:t>
      </w:r>
      <w:bookmarkStart w:id="0" w:name="_GoBack"/>
      <w:bookmarkEnd w:id="0"/>
    </w:p>
    <w:sectPr w:rsidR="00E058CB" w:rsidRPr="003165C6" w:rsidSect="007237AE">
      <w:footerReference w:type="even" r:id="rId8"/>
      <w:footerReference w:type="default" r:id="rId9"/>
      <w:pgSz w:w="12240" w:h="15840"/>
      <w:pgMar w:top="1440" w:right="1800" w:bottom="1440" w:left="1800" w:header="720" w:footer="720" w:gutter="0"/>
      <w:pgNumType w:start="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28A5BC" w14:textId="77777777" w:rsidR="004446A7" w:rsidRDefault="004446A7" w:rsidP="007237AE">
      <w:r>
        <w:separator/>
      </w:r>
    </w:p>
  </w:endnote>
  <w:endnote w:type="continuationSeparator" w:id="0">
    <w:p w14:paraId="54801E61" w14:textId="77777777" w:rsidR="004446A7" w:rsidRDefault="004446A7" w:rsidP="00723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ED6DD8" w14:textId="77777777" w:rsidR="004446A7" w:rsidRDefault="004446A7" w:rsidP="007237A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79BEBAF" w14:textId="77777777" w:rsidR="004446A7" w:rsidRDefault="004446A7">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75D06A" w14:textId="77777777" w:rsidR="004446A7" w:rsidRDefault="004446A7" w:rsidP="007237A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415FC">
      <w:rPr>
        <w:rStyle w:val="PageNumber"/>
        <w:noProof/>
      </w:rPr>
      <w:t>0</w:t>
    </w:r>
    <w:r>
      <w:rPr>
        <w:rStyle w:val="PageNumber"/>
      </w:rPr>
      <w:fldChar w:fldCharType="end"/>
    </w:r>
  </w:p>
  <w:p w14:paraId="18C95185" w14:textId="77777777" w:rsidR="004446A7" w:rsidRDefault="004446A7">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D775BF" w14:textId="77777777" w:rsidR="004446A7" w:rsidRDefault="004446A7" w:rsidP="007237AE">
      <w:r>
        <w:separator/>
      </w:r>
    </w:p>
  </w:footnote>
  <w:footnote w:type="continuationSeparator" w:id="0">
    <w:p w14:paraId="429D834D" w14:textId="77777777" w:rsidR="004446A7" w:rsidRDefault="004446A7" w:rsidP="007237AE">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D9AD69C"/>
    <w:lvl w:ilvl="0">
      <w:start w:val="1"/>
      <w:numFmt w:val="bullet"/>
      <w:pStyle w:val="NoteLevel1"/>
      <w:lvlText w:val=""/>
      <w:lvlJc w:val="left"/>
      <w:pPr>
        <w:tabs>
          <w:tab w:val="num" w:pos="0"/>
        </w:tabs>
        <w:ind w:left="0" w:firstLine="0"/>
      </w:pPr>
      <w:rPr>
        <w:rFonts w:ascii="Symbol" w:hAnsi="Symbol"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pStyle w:val="NoteLevel3"/>
      <w:lvlText w:val="o"/>
      <w:lvlJc w:val="left"/>
      <w:pPr>
        <w:tabs>
          <w:tab w:val="num" w:pos="1440"/>
        </w:tabs>
        <w:ind w:left="1800" w:hanging="360"/>
      </w:pPr>
      <w:rPr>
        <w:rFonts w:ascii="Courier New" w:hAnsi="Courier New" w:cs="Courier New" w:hint="default"/>
      </w:rPr>
    </w:lvl>
    <w:lvl w:ilvl="3">
      <w:start w:val="1"/>
      <w:numFmt w:val="bullet"/>
      <w:pStyle w:val="NoteLevel4"/>
      <w:lvlText w:val=""/>
      <w:lvlJc w:val="left"/>
      <w:pPr>
        <w:tabs>
          <w:tab w:val="num" w:pos="2160"/>
        </w:tabs>
        <w:ind w:left="2520" w:hanging="360"/>
      </w:pPr>
      <w:rPr>
        <w:rFonts w:ascii="Wingdings" w:hAnsi="Wingdings" w:hint="default"/>
      </w:rPr>
    </w:lvl>
    <w:lvl w:ilvl="4">
      <w:start w:val="1"/>
      <w:numFmt w:val="bullet"/>
      <w:pStyle w:val="NoteLevel5"/>
      <w:lvlText w:val=""/>
      <w:lvlJc w:val="left"/>
      <w:pPr>
        <w:tabs>
          <w:tab w:val="num" w:pos="2880"/>
        </w:tabs>
        <w:ind w:left="3240" w:hanging="360"/>
      </w:pPr>
      <w:rPr>
        <w:rFonts w:ascii="Wingdings" w:hAnsi="Wingdings" w:hint="default"/>
      </w:rPr>
    </w:lvl>
    <w:lvl w:ilvl="5">
      <w:start w:val="1"/>
      <w:numFmt w:val="bullet"/>
      <w:pStyle w:val="NoteLevel6"/>
      <w:lvlText w:val=""/>
      <w:lvlJc w:val="left"/>
      <w:pPr>
        <w:tabs>
          <w:tab w:val="num" w:pos="3600"/>
        </w:tabs>
        <w:ind w:left="3960" w:hanging="360"/>
      </w:pPr>
      <w:rPr>
        <w:rFonts w:ascii="Symbol" w:hAnsi="Symbol" w:hint="default"/>
      </w:rPr>
    </w:lvl>
    <w:lvl w:ilvl="6">
      <w:start w:val="1"/>
      <w:numFmt w:val="bullet"/>
      <w:pStyle w:val="NoteLevel7"/>
      <w:lvlText w:val="o"/>
      <w:lvlJc w:val="left"/>
      <w:pPr>
        <w:tabs>
          <w:tab w:val="num" w:pos="4320"/>
        </w:tabs>
        <w:ind w:left="4680" w:hanging="360"/>
      </w:pPr>
      <w:rPr>
        <w:rFonts w:ascii="Courier New" w:hAnsi="Courier New" w:cs="Courier New" w:hint="default"/>
      </w:rPr>
    </w:lvl>
    <w:lvl w:ilvl="7">
      <w:start w:val="1"/>
      <w:numFmt w:val="bullet"/>
      <w:pStyle w:val="NoteLevel8"/>
      <w:lvlText w:val=""/>
      <w:lvlJc w:val="left"/>
      <w:pPr>
        <w:tabs>
          <w:tab w:val="num" w:pos="5040"/>
        </w:tabs>
        <w:ind w:left="5400" w:hanging="360"/>
      </w:pPr>
      <w:rPr>
        <w:rFonts w:ascii="Wingdings" w:hAnsi="Wingdings" w:hint="default"/>
      </w:rPr>
    </w:lvl>
    <w:lvl w:ilvl="8">
      <w:start w:val="1"/>
      <w:numFmt w:val="bullet"/>
      <w:pStyle w:val="NoteLevel9"/>
      <w:lvlText w:val=""/>
      <w:lvlJc w:val="left"/>
      <w:pPr>
        <w:tabs>
          <w:tab w:val="num" w:pos="5760"/>
        </w:tabs>
        <w:ind w:left="6120" w:hanging="360"/>
      </w:pPr>
      <w:rPr>
        <w:rFonts w:ascii="Wingdings" w:hAnsi="Wingdings" w:hint="default"/>
      </w:rPr>
    </w:lvl>
  </w:abstractNum>
  <w:abstractNum w:abstractNumId="1">
    <w:nsid w:val="17500041"/>
    <w:multiLevelType w:val="hybridMultilevel"/>
    <w:tmpl w:val="54C0AF64"/>
    <w:lvl w:ilvl="0" w:tplc="FA14770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10B6882"/>
    <w:multiLevelType w:val="hybridMultilevel"/>
    <w:tmpl w:val="DC2644F2"/>
    <w:lvl w:ilvl="0" w:tplc="DDE8B7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ED45F16"/>
    <w:multiLevelType w:val="hybridMultilevel"/>
    <w:tmpl w:val="27568C52"/>
    <w:lvl w:ilvl="0" w:tplc="04090013">
      <w:start w:val="1"/>
      <w:numFmt w:val="upperRoman"/>
      <w:lvlText w:val="%1."/>
      <w:lvlJc w:val="righ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DCB1136"/>
    <w:multiLevelType w:val="hybridMultilevel"/>
    <w:tmpl w:val="F42024E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37D7F1E"/>
    <w:multiLevelType w:val="hybridMultilevel"/>
    <w:tmpl w:val="FF0E832C"/>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4"/>
  </w:num>
  <w:num w:numId="5">
    <w:abstractNumId w:val="1"/>
  </w:num>
  <w:num w:numId="6">
    <w:abstractNumId w:val="2"/>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37AE"/>
    <w:rsid w:val="0000095A"/>
    <w:rsid w:val="00017816"/>
    <w:rsid w:val="00020AD9"/>
    <w:rsid w:val="000255C4"/>
    <w:rsid w:val="0006452F"/>
    <w:rsid w:val="00072BD2"/>
    <w:rsid w:val="000860B3"/>
    <w:rsid w:val="0009319C"/>
    <w:rsid w:val="000A497B"/>
    <w:rsid w:val="000A6681"/>
    <w:rsid w:val="000B036A"/>
    <w:rsid w:val="000F69CA"/>
    <w:rsid w:val="000F78E0"/>
    <w:rsid w:val="00106AF8"/>
    <w:rsid w:val="00107D08"/>
    <w:rsid w:val="00107E36"/>
    <w:rsid w:val="00113DFD"/>
    <w:rsid w:val="00122411"/>
    <w:rsid w:val="00135397"/>
    <w:rsid w:val="00141AB1"/>
    <w:rsid w:val="00154D9B"/>
    <w:rsid w:val="001A2D4A"/>
    <w:rsid w:val="001A37BC"/>
    <w:rsid w:val="001A397B"/>
    <w:rsid w:val="001B3400"/>
    <w:rsid w:val="001B60D6"/>
    <w:rsid w:val="002246EC"/>
    <w:rsid w:val="00227E56"/>
    <w:rsid w:val="00231C3F"/>
    <w:rsid w:val="00235D36"/>
    <w:rsid w:val="0027107B"/>
    <w:rsid w:val="0027498A"/>
    <w:rsid w:val="00281C5E"/>
    <w:rsid w:val="00291AF6"/>
    <w:rsid w:val="00291BF8"/>
    <w:rsid w:val="00292440"/>
    <w:rsid w:val="002A1BC6"/>
    <w:rsid w:val="002A7F60"/>
    <w:rsid w:val="002B01B0"/>
    <w:rsid w:val="002C339D"/>
    <w:rsid w:val="002D00AA"/>
    <w:rsid w:val="002D0D89"/>
    <w:rsid w:val="002D424D"/>
    <w:rsid w:val="002D71BD"/>
    <w:rsid w:val="002D7A09"/>
    <w:rsid w:val="002E7634"/>
    <w:rsid w:val="003068F5"/>
    <w:rsid w:val="00307560"/>
    <w:rsid w:val="003077D4"/>
    <w:rsid w:val="003165C6"/>
    <w:rsid w:val="0032314D"/>
    <w:rsid w:val="003247BA"/>
    <w:rsid w:val="00326D0D"/>
    <w:rsid w:val="00326E72"/>
    <w:rsid w:val="003452F5"/>
    <w:rsid w:val="00354AFD"/>
    <w:rsid w:val="00357BCD"/>
    <w:rsid w:val="003641B8"/>
    <w:rsid w:val="0038385C"/>
    <w:rsid w:val="003B11CA"/>
    <w:rsid w:val="003B45D4"/>
    <w:rsid w:val="003E51E0"/>
    <w:rsid w:val="003F5D7B"/>
    <w:rsid w:val="003F6C60"/>
    <w:rsid w:val="003F7825"/>
    <w:rsid w:val="004415FC"/>
    <w:rsid w:val="00441C45"/>
    <w:rsid w:val="00441DDE"/>
    <w:rsid w:val="004441B1"/>
    <w:rsid w:val="004446A7"/>
    <w:rsid w:val="00447B35"/>
    <w:rsid w:val="004550DB"/>
    <w:rsid w:val="00455279"/>
    <w:rsid w:val="004678BB"/>
    <w:rsid w:val="00475591"/>
    <w:rsid w:val="004C350A"/>
    <w:rsid w:val="004D294C"/>
    <w:rsid w:val="004E7DCF"/>
    <w:rsid w:val="004F0176"/>
    <w:rsid w:val="005111F1"/>
    <w:rsid w:val="00512995"/>
    <w:rsid w:val="0051720D"/>
    <w:rsid w:val="005254A4"/>
    <w:rsid w:val="00532A48"/>
    <w:rsid w:val="005543FE"/>
    <w:rsid w:val="00584C3D"/>
    <w:rsid w:val="00586625"/>
    <w:rsid w:val="005949CF"/>
    <w:rsid w:val="005A017D"/>
    <w:rsid w:val="005A105D"/>
    <w:rsid w:val="005A79AA"/>
    <w:rsid w:val="005B167C"/>
    <w:rsid w:val="005D7136"/>
    <w:rsid w:val="005F64D1"/>
    <w:rsid w:val="005F66E8"/>
    <w:rsid w:val="006312F0"/>
    <w:rsid w:val="00634A6B"/>
    <w:rsid w:val="00656DE9"/>
    <w:rsid w:val="00661530"/>
    <w:rsid w:val="00665B13"/>
    <w:rsid w:val="00674ED3"/>
    <w:rsid w:val="00690D89"/>
    <w:rsid w:val="0069324C"/>
    <w:rsid w:val="00694265"/>
    <w:rsid w:val="006B15B2"/>
    <w:rsid w:val="006B5216"/>
    <w:rsid w:val="006C67B3"/>
    <w:rsid w:val="006C6C5C"/>
    <w:rsid w:val="006F03E2"/>
    <w:rsid w:val="006F5A06"/>
    <w:rsid w:val="00700612"/>
    <w:rsid w:val="00706D3C"/>
    <w:rsid w:val="00710277"/>
    <w:rsid w:val="00710316"/>
    <w:rsid w:val="0072329E"/>
    <w:rsid w:val="007237AE"/>
    <w:rsid w:val="00753E35"/>
    <w:rsid w:val="00754CB1"/>
    <w:rsid w:val="00762CFD"/>
    <w:rsid w:val="0077220B"/>
    <w:rsid w:val="00774344"/>
    <w:rsid w:val="007749A5"/>
    <w:rsid w:val="00784E20"/>
    <w:rsid w:val="007A2343"/>
    <w:rsid w:val="007A3FB0"/>
    <w:rsid w:val="007A5A34"/>
    <w:rsid w:val="007B4241"/>
    <w:rsid w:val="007B6F39"/>
    <w:rsid w:val="007D5739"/>
    <w:rsid w:val="007F20FB"/>
    <w:rsid w:val="007F3A03"/>
    <w:rsid w:val="00803A0B"/>
    <w:rsid w:val="0082528A"/>
    <w:rsid w:val="008506FD"/>
    <w:rsid w:val="00861344"/>
    <w:rsid w:val="00861FD1"/>
    <w:rsid w:val="008742F6"/>
    <w:rsid w:val="008B1CCF"/>
    <w:rsid w:val="008B57EC"/>
    <w:rsid w:val="008B586F"/>
    <w:rsid w:val="008C53F4"/>
    <w:rsid w:val="008D6709"/>
    <w:rsid w:val="008F3872"/>
    <w:rsid w:val="00902B74"/>
    <w:rsid w:val="00904452"/>
    <w:rsid w:val="00910410"/>
    <w:rsid w:val="00910619"/>
    <w:rsid w:val="0092141F"/>
    <w:rsid w:val="00923524"/>
    <w:rsid w:val="00956110"/>
    <w:rsid w:val="009720D3"/>
    <w:rsid w:val="00981C63"/>
    <w:rsid w:val="00982DF9"/>
    <w:rsid w:val="00982FF7"/>
    <w:rsid w:val="009865EF"/>
    <w:rsid w:val="009B7B87"/>
    <w:rsid w:val="009C1770"/>
    <w:rsid w:val="009C2AD7"/>
    <w:rsid w:val="009D1DD4"/>
    <w:rsid w:val="009E16A3"/>
    <w:rsid w:val="009F2754"/>
    <w:rsid w:val="009F4533"/>
    <w:rsid w:val="00A0474B"/>
    <w:rsid w:val="00A12116"/>
    <w:rsid w:val="00A150C1"/>
    <w:rsid w:val="00A348A4"/>
    <w:rsid w:val="00A409EF"/>
    <w:rsid w:val="00A57F9A"/>
    <w:rsid w:val="00A7119F"/>
    <w:rsid w:val="00A71FFB"/>
    <w:rsid w:val="00A7699A"/>
    <w:rsid w:val="00A93C31"/>
    <w:rsid w:val="00AA03F0"/>
    <w:rsid w:val="00AB7F1C"/>
    <w:rsid w:val="00AC06E4"/>
    <w:rsid w:val="00AC56C9"/>
    <w:rsid w:val="00AD3AE9"/>
    <w:rsid w:val="00AE2779"/>
    <w:rsid w:val="00AE603B"/>
    <w:rsid w:val="00AF0F7F"/>
    <w:rsid w:val="00AF28D8"/>
    <w:rsid w:val="00AF72FD"/>
    <w:rsid w:val="00B04346"/>
    <w:rsid w:val="00B200B5"/>
    <w:rsid w:val="00B26777"/>
    <w:rsid w:val="00B372DE"/>
    <w:rsid w:val="00B60510"/>
    <w:rsid w:val="00B60C08"/>
    <w:rsid w:val="00B63823"/>
    <w:rsid w:val="00B72232"/>
    <w:rsid w:val="00B74686"/>
    <w:rsid w:val="00B96B6D"/>
    <w:rsid w:val="00BA7A92"/>
    <w:rsid w:val="00BD1380"/>
    <w:rsid w:val="00BE26D6"/>
    <w:rsid w:val="00BF1A99"/>
    <w:rsid w:val="00C04D55"/>
    <w:rsid w:val="00C054D6"/>
    <w:rsid w:val="00C1235B"/>
    <w:rsid w:val="00C21459"/>
    <w:rsid w:val="00C234D0"/>
    <w:rsid w:val="00C32287"/>
    <w:rsid w:val="00C467FF"/>
    <w:rsid w:val="00C479FF"/>
    <w:rsid w:val="00C51016"/>
    <w:rsid w:val="00C657D4"/>
    <w:rsid w:val="00C66098"/>
    <w:rsid w:val="00C67C5A"/>
    <w:rsid w:val="00C95283"/>
    <w:rsid w:val="00CC5B8F"/>
    <w:rsid w:val="00CC6725"/>
    <w:rsid w:val="00CD7D2A"/>
    <w:rsid w:val="00CE16DF"/>
    <w:rsid w:val="00CE192E"/>
    <w:rsid w:val="00CE19B8"/>
    <w:rsid w:val="00D05265"/>
    <w:rsid w:val="00D16AF3"/>
    <w:rsid w:val="00D228D8"/>
    <w:rsid w:val="00D33143"/>
    <w:rsid w:val="00D45D22"/>
    <w:rsid w:val="00D467AD"/>
    <w:rsid w:val="00D500FF"/>
    <w:rsid w:val="00D508D0"/>
    <w:rsid w:val="00D535ED"/>
    <w:rsid w:val="00D54070"/>
    <w:rsid w:val="00D66D3B"/>
    <w:rsid w:val="00D72C8B"/>
    <w:rsid w:val="00D826BE"/>
    <w:rsid w:val="00D85BE3"/>
    <w:rsid w:val="00D93E1A"/>
    <w:rsid w:val="00D975FD"/>
    <w:rsid w:val="00DA70FB"/>
    <w:rsid w:val="00DB4FE3"/>
    <w:rsid w:val="00DC11AE"/>
    <w:rsid w:val="00DC349D"/>
    <w:rsid w:val="00DC4772"/>
    <w:rsid w:val="00DC520C"/>
    <w:rsid w:val="00DC7263"/>
    <w:rsid w:val="00DD120B"/>
    <w:rsid w:val="00DE0272"/>
    <w:rsid w:val="00DE3A64"/>
    <w:rsid w:val="00DE6598"/>
    <w:rsid w:val="00E058CB"/>
    <w:rsid w:val="00E12E0B"/>
    <w:rsid w:val="00E20691"/>
    <w:rsid w:val="00E25FDC"/>
    <w:rsid w:val="00E27F53"/>
    <w:rsid w:val="00E47292"/>
    <w:rsid w:val="00E5647E"/>
    <w:rsid w:val="00E62F91"/>
    <w:rsid w:val="00E91700"/>
    <w:rsid w:val="00EB77D0"/>
    <w:rsid w:val="00ED57D7"/>
    <w:rsid w:val="00EE2366"/>
    <w:rsid w:val="00EE3524"/>
    <w:rsid w:val="00EE4C01"/>
    <w:rsid w:val="00F00749"/>
    <w:rsid w:val="00F04EC7"/>
    <w:rsid w:val="00F06690"/>
    <w:rsid w:val="00F41E30"/>
    <w:rsid w:val="00F42343"/>
    <w:rsid w:val="00F50B36"/>
    <w:rsid w:val="00FB29C1"/>
    <w:rsid w:val="00FB38FB"/>
    <w:rsid w:val="00FB570D"/>
    <w:rsid w:val="00FC41D5"/>
    <w:rsid w:val="00FC61A0"/>
    <w:rsid w:val="00FD21C0"/>
    <w:rsid w:val="00FD39B1"/>
    <w:rsid w:val="00FD50D5"/>
    <w:rsid w:val="00FE5357"/>
    <w:rsid w:val="00FE5633"/>
    <w:rsid w:val="00FF08E9"/>
    <w:rsid w:val="00FF0EFA"/>
    <w:rsid w:val="00FF23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3633E9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2"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teLevel1">
    <w:name w:val="Note Level 1"/>
    <w:basedOn w:val="Normal"/>
    <w:uiPriority w:val="99"/>
    <w:semiHidden/>
    <w:unhideWhenUsed/>
    <w:rsid w:val="007A2343"/>
    <w:pPr>
      <w:keepNext/>
      <w:numPr>
        <w:numId w:val="3"/>
      </w:numPr>
      <w:contextualSpacing/>
      <w:outlineLvl w:val="0"/>
    </w:pPr>
    <w:rPr>
      <w:rFonts w:ascii="Arial" w:hAnsi="Arial"/>
    </w:rPr>
  </w:style>
  <w:style w:type="paragraph" w:styleId="NoteLevel2">
    <w:name w:val="Note Level 2"/>
    <w:basedOn w:val="Normal"/>
    <w:autoRedefine/>
    <w:uiPriority w:val="99"/>
    <w:unhideWhenUsed/>
    <w:qFormat/>
    <w:rsid w:val="007A2343"/>
    <w:pPr>
      <w:keepNext/>
      <w:numPr>
        <w:ilvl w:val="1"/>
        <w:numId w:val="3"/>
      </w:numPr>
      <w:contextualSpacing/>
      <w:outlineLvl w:val="1"/>
    </w:pPr>
    <w:rPr>
      <w:rFonts w:ascii="Arial" w:eastAsiaTheme="minorHAnsi" w:hAnsi="Arial"/>
    </w:rPr>
  </w:style>
  <w:style w:type="paragraph" w:styleId="NoteLevel3">
    <w:name w:val="Note Level 3"/>
    <w:basedOn w:val="Normal"/>
    <w:uiPriority w:val="99"/>
    <w:semiHidden/>
    <w:unhideWhenUsed/>
    <w:rsid w:val="007A2343"/>
    <w:pPr>
      <w:keepNext/>
      <w:numPr>
        <w:ilvl w:val="2"/>
        <w:numId w:val="3"/>
      </w:numPr>
      <w:contextualSpacing/>
      <w:outlineLvl w:val="2"/>
    </w:pPr>
    <w:rPr>
      <w:rFonts w:ascii="Arial" w:hAnsi="Arial"/>
    </w:rPr>
  </w:style>
  <w:style w:type="paragraph" w:styleId="NoteLevel4">
    <w:name w:val="Note Level 4"/>
    <w:basedOn w:val="Normal"/>
    <w:uiPriority w:val="99"/>
    <w:semiHidden/>
    <w:unhideWhenUsed/>
    <w:rsid w:val="007A2343"/>
    <w:pPr>
      <w:keepNext/>
      <w:numPr>
        <w:ilvl w:val="3"/>
        <w:numId w:val="3"/>
      </w:numPr>
      <w:contextualSpacing/>
      <w:outlineLvl w:val="3"/>
    </w:pPr>
    <w:rPr>
      <w:rFonts w:ascii="Arial" w:hAnsi="Arial"/>
    </w:rPr>
  </w:style>
  <w:style w:type="paragraph" w:styleId="NoteLevel5">
    <w:name w:val="Note Level 5"/>
    <w:basedOn w:val="Normal"/>
    <w:uiPriority w:val="99"/>
    <w:semiHidden/>
    <w:unhideWhenUsed/>
    <w:rsid w:val="007A2343"/>
    <w:pPr>
      <w:keepNext/>
      <w:numPr>
        <w:ilvl w:val="4"/>
        <w:numId w:val="3"/>
      </w:numPr>
      <w:contextualSpacing/>
      <w:outlineLvl w:val="4"/>
    </w:pPr>
    <w:rPr>
      <w:rFonts w:ascii="Arial" w:hAnsi="Arial"/>
    </w:rPr>
  </w:style>
  <w:style w:type="paragraph" w:styleId="NoteLevel6">
    <w:name w:val="Note Level 6"/>
    <w:basedOn w:val="Normal"/>
    <w:uiPriority w:val="99"/>
    <w:semiHidden/>
    <w:unhideWhenUsed/>
    <w:rsid w:val="007A2343"/>
    <w:pPr>
      <w:keepNext/>
      <w:numPr>
        <w:ilvl w:val="5"/>
        <w:numId w:val="3"/>
      </w:numPr>
      <w:contextualSpacing/>
      <w:outlineLvl w:val="5"/>
    </w:pPr>
    <w:rPr>
      <w:rFonts w:ascii="Arial" w:hAnsi="Arial"/>
    </w:rPr>
  </w:style>
  <w:style w:type="paragraph" w:styleId="NoteLevel7">
    <w:name w:val="Note Level 7"/>
    <w:basedOn w:val="Normal"/>
    <w:uiPriority w:val="99"/>
    <w:semiHidden/>
    <w:unhideWhenUsed/>
    <w:rsid w:val="007A2343"/>
    <w:pPr>
      <w:keepNext/>
      <w:numPr>
        <w:ilvl w:val="6"/>
        <w:numId w:val="3"/>
      </w:numPr>
      <w:contextualSpacing/>
      <w:outlineLvl w:val="6"/>
    </w:pPr>
    <w:rPr>
      <w:rFonts w:ascii="Arial" w:hAnsi="Arial"/>
    </w:rPr>
  </w:style>
  <w:style w:type="paragraph" w:styleId="NoteLevel8">
    <w:name w:val="Note Level 8"/>
    <w:basedOn w:val="Normal"/>
    <w:uiPriority w:val="99"/>
    <w:semiHidden/>
    <w:unhideWhenUsed/>
    <w:rsid w:val="007A2343"/>
    <w:pPr>
      <w:keepNext/>
      <w:numPr>
        <w:ilvl w:val="7"/>
        <w:numId w:val="3"/>
      </w:numPr>
      <w:contextualSpacing/>
      <w:outlineLvl w:val="7"/>
    </w:pPr>
    <w:rPr>
      <w:rFonts w:ascii="Arial" w:hAnsi="Arial"/>
    </w:rPr>
  </w:style>
  <w:style w:type="paragraph" w:styleId="NoteLevel9">
    <w:name w:val="Note Level 9"/>
    <w:basedOn w:val="Normal"/>
    <w:uiPriority w:val="99"/>
    <w:semiHidden/>
    <w:unhideWhenUsed/>
    <w:rsid w:val="007A2343"/>
    <w:pPr>
      <w:keepNext/>
      <w:numPr>
        <w:ilvl w:val="8"/>
        <w:numId w:val="3"/>
      </w:numPr>
      <w:contextualSpacing/>
      <w:outlineLvl w:val="8"/>
    </w:pPr>
    <w:rPr>
      <w:rFonts w:ascii="Arial" w:hAnsi="Arial"/>
    </w:rPr>
  </w:style>
  <w:style w:type="paragraph" w:customStyle="1" w:styleId="WRAP">
    <w:name w:val="WRAP"/>
    <w:basedOn w:val="Normal"/>
    <w:autoRedefine/>
    <w:qFormat/>
    <w:rsid w:val="00FE5357"/>
    <w:pPr>
      <w:spacing w:line="480" w:lineRule="auto"/>
    </w:pPr>
    <w:rPr>
      <w:sz w:val="28"/>
    </w:rPr>
  </w:style>
  <w:style w:type="paragraph" w:styleId="Footer">
    <w:name w:val="footer"/>
    <w:basedOn w:val="Normal"/>
    <w:link w:val="FooterChar"/>
    <w:uiPriority w:val="99"/>
    <w:unhideWhenUsed/>
    <w:rsid w:val="007237AE"/>
    <w:pPr>
      <w:tabs>
        <w:tab w:val="center" w:pos="4320"/>
        <w:tab w:val="right" w:pos="8640"/>
      </w:tabs>
    </w:pPr>
  </w:style>
  <w:style w:type="character" w:customStyle="1" w:styleId="FooterChar">
    <w:name w:val="Footer Char"/>
    <w:basedOn w:val="DefaultParagraphFont"/>
    <w:link w:val="Footer"/>
    <w:uiPriority w:val="99"/>
    <w:rsid w:val="007237AE"/>
  </w:style>
  <w:style w:type="character" w:styleId="PageNumber">
    <w:name w:val="page number"/>
    <w:basedOn w:val="DefaultParagraphFont"/>
    <w:uiPriority w:val="99"/>
    <w:semiHidden/>
    <w:unhideWhenUsed/>
    <w:rsid w:val="007237AE"/>
  </w:style>
  <w:style w:type="paragraph" w:styleId="Header">
    <w:name w:val="header"/>
    <w:basedOn w:val="Normal"/>
    <w:link w:val="HeaderChar"/>
    <w:uiPriority w:val="99"/>
    <w:unhideWhenUsed/>
    <w:rsid w:val="0032314D"/>
    <w:pPr>
      <w:tabs>
        <w:tab w:val="center" w:pos="4320"/>
        <w:tab w:val="right" w:pos="8640"/>
      </w:tabs>
    </w:pPr>
  </w:style>
  <w:style w:type="character" w:customStyle="1" w:styleId="HeaderChar">
    <w:name w:val="Header Char"/>
    <w:basedOn w:val="DefaultParagraphFont"/>
    <w:link w:val="Header"/>
    <w:uiPriority w:val="99"/>
    <w:rsid w:val="0032314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2"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teLevel1">
    <w:name w:val="Note Level 1"/>
    <w:basedOn w:val="Normal"/>
    <w:uiPriority w:val="99"/>
    <w:semiHidden/>
    <w:unhideWhenUsed/>
    <w:rsid w:val="007A2343"/>
    <w:pPr>
      <w:keepNext/>
      <w:numPr>
        <w:numId w:val="3"/>
      </w:numPr>
      <w:contextualSpacing/>
      <w:outlineLvl w:val="0"/>
    </w:pPr>
    <w:rPr>
      <w:rFonts w:ascii="Arial" w:hAnsi="Arial"/>
    </w:rPr>
  </w:style>
  <w:style w:type="paragraph" w:styleId="NoteLevel2">
    <w:name w:val="Note Level 2"/>
    <w:basedOn w:val="Normal"/>
    <w:autoRedefine/>
    <w:uiPriority w:val="99"/>
    <w:unhideWhenUsed/>
    <w:qFormat/>
    <w:rsid w:val="007A2343"/>
    <w:pPr>
      <w:keepNext/>
      <w:numPr>
        <w:ilvl w:val="1"/>
        <w:numId w:val="3"/>
      </w:numPr>
      <w:contextualSpacing/>
      <w:outlineLvl w:val="1"/>
    </w:pPr>
    <w:rPr>
      <w:rFonts w:ascii="Arial" w:eastAsiaTheme="minorHAnsi" w:hAnsi="Arial"/>
    </w:rPr>
  </w:style>
  <w:style w:type="paragraph" w:styleId="NoteLevel3">
    <w:name w:val="Note Level 3"/>
    <w:basedOn w:val="Normal"/>
    <w:uiPriority w:val="99"/>
    <w:semiHidden/>
    <w:unhideWhenUsed/>
    <w:rsid w:val="007A2343"/>
    <w:pPr>
      <w:keepNext/>
      <w:numPr>
        <w:ilvl w:val="2"/>
        <w:numId w:val="3"/>
      </w:numPr>
      <w:contextualSpacing/>
      <w:outlineLvl w:val="2"/>
    </w:pPr>
    <w:rPr>
      <w:rFonts w:ascii="Arial" w:hAnsi="Arial"/>
    </w:rPr>
  </w:style>
  <w:style w:type="paragraph" w:styleId="NoteLevel4">
    <w:name w:val="Note Level 4"/>
    <w:basedOn w:val="Normal"/>
    <w:uiPriority w:val="99"/>
    <w:semiHidden/>
    <w:unhideWhenUsed/>
    <w:rsid w:val="007A2343"/>
    <w:pPr>
      <w:keepNext/>
      <w:numPr>
        <w:ilvl w:val="3"/>
        <w:numId w:val="3"/>
      </w:numPr>
      <w:contextualSpacing/>
      <w:outlineLvl w:val="3"/>
    </w:pPr>
    <w:rPr>
      <w:rFonts w:ascii="Arial" w:hAnsi="Arial"/>
    </w:rPr>
  </w:style>
  <w:style w:type="paragraph" w:styleId="NoteLevel5">
    <w:name w:val="Note Level 5"/>
    <w:basedOn w:val="Normal"/>
    <w:uiPriority w:val="99"/>
    <w:semiHidden/>
    <w:unhideWhenUsed/>
    <w:rsid w:val="007A2343"/>
    <w:pPr>
      <w:keepNext/>
      <w:numPr>
        <w:ilvl w:val="4"/>
        <w:numId w:val="3"/>
      </w:numPr>
      <w:contextualSpacing/>
      <w:outlineLvl w:val="4"/>
    </w:pPr>
    <w:rPr>
      <w:rFonts w:ascii="Arial" w:hAnsi="Arial"/>
    </w:rPr>
  </w:style>
  <w:style w:type="paragraph" w:styleId="NoteLevel6">
    <w:name w:val="Note Level 6"/>
    <w:basedOn w:val="Normal"/>
    <w:uiPriority w:val="99"/>
    <w:semiHidden/>
    <w:unhideWhenUsed/>
    <w:rsid w:val="007A2343"/>
    <w:pPr>
      <w:keepNext/>
      <w:numPr>
        <w:ilvl w:val="5"/>
        <w:numId w:val="3"/>
      </w:numPr>
      <w:contextualSpacing/>
      <w:outlineLvl w:val="5"/>
    </w:pPr>
    <w:rPr>
      <w:rFonts w:ascii="Arial" w:hAnsi="Arial"/>
    </w:rPr>
  </w:style>
  <w:style w:type="paragraph" w:styleId="NoteLevel7">
    <w:name w:val="Note Level 7"/>
    <w:basedOn w:val="Normal"/>
    <w:uiPriority w:val="99"/>
    <w:semiHidden/>
    <w:unhideWhenUsed/>
    <w:rsid w:val="007A2343"/>
    <w:pPr>
      <w:keepNext/>
      <w:numPr>
        <w:ilvl w:val="6"/>
        <w:numId w:val="3"/>
      </w:numPr>
      <w:contextualSpacing/>
      <w:outlineLvl w:val="6"/>
    </w:pPr>
    <w:rPr>
      <w:rFonts w:ascii="Arial" w:hAnsi="Arial"/>
    </w:rPr>
  </w:style>
  <w:style w:type="paragraph" w:styleId="NoteLevel8">
    <w:name w:val="Note Level 8"/>
    <w:basedOn w:val="Normal"/>
    <w:uiPriority w:val="99"/>
    <w:semiHidden/>
    <w:unhideWhenUsed/>
    <w:rsid w:val="007A2343"/>
    <w:pPr>
      <w:keepNext/>
      <w:numPr>
        <w:ilvl w:val="7"/>
        <w:numId w:val="3"/>
      </w:numPr>
      <w:contextualSpacing/>
      <w:outlineLvl w:val="7"/>
    </w:pPr>
    <w:rPr>
      <w:rFonts w:ascii="Arial" w:hAnsi="Arial"/>
    </w:rPr>
  </w:style>
  <w:style w:type="paragraph" w:styleId="NoteLevel9">
    <w:name w:val="Note Level 9"/>
    <w:basedOn w:val="Normal"/>
    <w:uiPriority w:val="99"/>
    <w:semiHidden/>
    <w:unhideWhenUsed/>
    <w:rsid w:val="007A2343"/>
    <w:pPr>
      <w:keepNext/>
      <w:numPr>
        <w:ilvl w:val="8"/>
        <w:numId w:val="3"/>
      </w:numPr>
      <w:contextualSpacing/>
      <w:outlineLvl w:val="8"/>
    </w:pPr>
    <w:rPr>
      <w:rFonts w:ascii="Arial" w:hAnsi="Arial"/>
    </w:rPr>
  </w:style>
  <w:style w:type="paragraph" w:customStyle="1" w:styleId="WRAP">
    <w:name w:val="WRAP"/>
    <w:basedOn w:val="Normal"/>
    <w:autoRedefine/>
    <w:qFormat/>
    <w:rsid w:val="00FE5357"/>
    <w:pPr>
      <w:spacing w:line="480" w:lineRule="auto"/>
    </w:pPr>
    <w:rPr>
      <w:sz w:val="28"/>
    </w:rPr>
  </w:style>
  <w:style w:type="paragraph" w:styleId="Footer">
    <w:name w:val="footer"/>
    <w:basedOn w:val="Normal"/>
    <w:link w:val="FooterChar"/>
    <w:uiPriority w:val="99"/>
    <w:unhideWhenUsed/>
    <w:rsid w:val="007237AE"/>
    <w:pPr>
      <w:tabs>
        <w:tab w:val="center" w:pos="4320"/>
        <w:tab w:val="right" w:pos="8640"/>
      </w:tabs>
    </w:pPr>
  </w:style>
  <w:style w:type="character" w:customStyle="1" w:styleId="FooterChar">
    <w:name w:val="Footer Char"/>
    <w:basedOn w:val="DefaultParagraphFont"/>
    <w:link w:val="Footer"/>
    <w:uiPriority w:val="99"/>
    <w:rsid w:val="007237AE"/>
  </w:style>
  <w:style w:type="character" w:styleId="PageNumber">
    <w:name w:val="page number"/>
    <w:basedOn w:val="DefaultParagraphFont"/>
    <w:uiPriority w:val="99"/>
    <w:semiHidden/>
    <w:unhideWhenUsed/>
    <w:rsid w:val="007237AE"/>
  </w:style>
  <w:style w:type="paragraph" w:styleId="Header">
    <w:name w:val="header"/>
    <w:basedOn w:val="Normal"/>
    <w:link w:val="HeaderChar"/>
    <w:uiPriority w:val="99"/>
    <w:unhideWhenUsed/>
    <w:rsid w:val="0032314D"/>
    <w:pPr>
      <w:tabs>
        <w:tab w:val="center" w:pos="4320"/>
        <w:tab w:val="right" w:pos="8640"/>
      </w:tabs>
    </w:pPr>
  </w:style>
  <w:style w:type="character" w:customStyle="1" w:styleId="HeaderChar">
    <w:name w:val="Header Char"/>
    <w:basedOn w:val="DefaultParagraphFont"/>
    <w:link w:val="Header"/>
    <w:uiPriority w:val="99"/>
    <w:rsid w:val="003231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3659</Words>
  <Characters>18223</Characters>
  <Application>Microsoft Macintosh Word</Application>
  <DocSecurity>0</DocSecurity>
  <Lines>379</Lines>
  <Paragraphs>90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21792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dcterms:created xsi:type="dcterms:W3CDTF">2012-05-29T20:57:00Z</dcterms:created>
  <dcterms:modified xsi:type="dcterms:W3CDTF">2012-06-03T22:04:00Z</dcterms:modified>
  <cp:category/>
</cp:coreProperties>
</file>